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方正仿宋简体"/>
          <w:sz w:val="32"/>
          <w:szCs w:val="32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spacing w:line="640" w:lineRule="exact"/>
        <w:rPr>
          <w:rFonts w:ascii="黑体" w:eastAsia="黑体"/>
          <w:b/>
          <w:sz w:val="52"/>
          <w:szCs w:val="52"/>
        </w:rPr>
      </w:pPr>
    </w:p>
    <w:p>
      <w:pPr>
        <w:rPr>
          <w:rFonts w:ascii="华文中宋" w:hAnsi="华文中宋" w:eastAsia="华文中宋" w:cs="华文中宋"/>
          <w:sz w:val="36"/>
          <w:szCs w:val="36"/>
        </w:rPr>
      </w:pPr>
    </w:p>
    <w:p>
      <w:pPr>
        <w:jc w:val="center"/>
        <w:rPr>
          <w:rFonts w:ascii="华文中宋" w:hAnsi="华文中宋" w:eastAsia="华文中宋" w:cs="华文中宋"/>
          <w:b/>
          <w:bCs/>
          <w:sz w:val="56"/>
          <w:szCs w:val="56"/>
        </w:rPr>
      </w:pPr>
      <w:r>
        <w:rPr>
          <w:rFonts w:hint="eastAsia" w:ascii="华文中宋" w:hAnsi="华文中宋" w:eastAsia="华文中宋" w:cs="华文中宋"/>
          <w:b/>
          <w:bCs/>
          <w:sz w:val="56"/>
          <w:szCs w:val="56"/>
        </w:rPr>
        <w:t>202</w:t>
      </w:r>
      <w:r>
        <w:rPr>
          <w:rFonts w:hint="eastAsia" w:ascii="华文中宋" w:hAnsi="华文中宋" w:eastAsia="华文中宋" w:cs="华文中宋"/>
          <w:b/>
          <w:bCs/>
          <w:sz w:val="56"/>
          <w:szCs w:val="56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/>
          <w:bCs/>
          <w:sz w:val="56"/>
          <w:szCs w:val="56"/>
        </w:rPr>
        <w:t>年度部门预算报告</w:t>
      </w:r>
    </w:p>
    <w:p>
      <w:pPr>
        <w:rPr>
          <w:rFonts w:ascii="华文中宋" w:hAnsi="华文中宋" w:eastAsia="华文中宋" w:cs="华文中宋"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西藏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昌都市</w:t>
      </w:r>
      <w:r>
        <w:rPr>
          <w:rFonts w:hint="eastAsia" w:ascii="华文中宋" w:hAnsi="华文中宋" w:eastAsia="华文中宋" w:cs="华文中宋"/>
          <w:sz w:val="36"/>
          <w:szCs w:val="36"/>
        </w:rPr>
        <w:t>贡觉县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宣传部</w:t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</w:rPr>
        <w:t>202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4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4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19</w:t>
      </w:r>
      <w:r>
        <w:rPr>
          <w:rFonts w:hint="eastAsia" w:ascii="宋体" w:hAnsi="宋体"/>
          <w:sz w:val="32"/>
          <w:szCs w:val="32"/>
          <w:u w:val="single"/>
        </w:rPr>
        <w:t>日</w:t>
      </w:r>
    </w:p>
    <w:p>
      <w:pPr>
        <w:rPr>
          <w:sz w:val="44"/>
          <w:szCs w:val="44"/>
        </w:rPr>
      </w:pPr>
    </w:p>
    <w:p>
      <w:pPr>
        <w:spacing w:line="460" w:lineRule="exact"/>
        <w:ind w:firstLine="1193" w:firstLineChars="297"/>
        <w:jc w:val="center"/>
        <w:rPr>
          <w:rFonts w:asciiTheme="minorEastAsia" w:hAnsiTheme="minorEastAsia" w:eastAsiaTheme="minorEastAsia"/>
          <w:b/>
          <w:sz w:val="40"/>
          <w:szCs w:val="40"/>
        </w:rPr>
      </w:pPr>
      <w:r>
        <w:rPr>
          <w:rFonts w:hint="eastAsia" w:asciiTheme="minorEastAsia" w:hAnsiTheme="minorEastAsia" w:eastAsiaTheme="minorEastAsia"/>
          <w:b/>
          <w:sz w:val="40"/>
          <w:szCs w:val="40"/>
        </w:rPr>
        <w:t>目  录</w:t>
      </w:r>
    </w:p>
    <w:p>
      <w:pPr>
        <w:spacing w:line="460" w:lineRule="exact"/>
        <w:rPr>
          <w:rFonts w:ascii="宋体" w:hAnsi="宋体"/>
          <w:b/>
          <w:sz w:val="40"/>
          <w:szCs w:val="40"/>
        </w:rPr>
      </w:pPr>
    </w:p>
    <w:p>
      <w:pPr>
        <w:spacing w:beforeLines="100" w:afterLines="100" w:line="46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第一部分 西藏贡觉县</w:t>
      </w:r>
      <w:r>
        <w:rPr>
          <w:rFonts w:hint="eastAsia" w:ascii="黑体" w:hAnsi="宋体" w:eastAsia="黑体"/>
          <w:sz w:val="32"/>
          <w:szCs w:val="32"/>
          <w:lang w:eastAsia="zh-CN"/>
        </w:rPr>
        <w:t>宣传部</w:t>
      </w:r>
      <w:r>
        <w:rPr>
          <w:rFonts w:hint="eastAsia" w:ascii="黑体" w:hAnsi="宋体" w:eastAsia="黑体"/>
          <w:sz w:val="32"/>
          <w:szCs w:val="32"/>
        </w:rPr>
        <w:t>概况</w:t>
      </w:r>
    </w:p>
    <w:p>
      <w:pPr>
        <w:spacing w:beforeLines="100" w:afterLines="100" w:line="460" w:lineRule="exact"/>
        <w:rPr>
          <w:rFonts w:ascii="方正楷体简体" w:hAnsi="宋体" w:eastAsia="方正楷体简体"/>
          <w:sz w:val="32"/>
          <w:szCs w:val="32"/>
        </w:rPr>
      </w:pPr>
      <w:r>
        <w:rPr>
          <w:rFonts w:hint="eastAsia" w:ascii="方正楷体简体" w:hAnsi="宋体" w:eastAsia="方正楷体简体"/>
          <w:sz w:val="32"/>
          <w:szCs w:val="32"/>
        </w:rPr>
        <w:t>一、主要职能</w:t>
      </w:r>
    </w:p>
    <w:p>
      <w:pPr>
        <w:spacing w:beforeLines="100" w:afterLines="100" w:line="460" w:lineRule="exact"/>
        <w:rPr>
          <w:rFonts w:ascii="方正楷体简体" w:hAnsi="宋体" w:eastAsia="方正楷体简体"/>
          <w:sz w:val="32"/>
          <w:szCs w:val="32"/>
        </w:rPr>
      </w:pPr>
      <w:r>
        <w:rPr>
          <w:rFonts w:hint="eastAsia" w:ascii="方正楷体简体" w:hAnsi="宋体" w:eastAsia="方正楷体简体"/>
          <w:sz w:val="32"/>
          <w:szCs w:val="32"/>
        </w:rPr>
        <w:t>二、部门单位构成</w:t>
      </w:r>
    </w:p>
    <w:p>
      <w:pPr>
        <w:spacing w:beforeLines="100" w:afterLines="100" w:line="46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第二部分 西藏贡觉县</w:t>
      </w:r>
      <w:r>
        <w:rPr>
          <w:rFonts w:hint="eastAsia" w:ascii="黑体" w:hAnsi="宋体" w:eastAsia="黑体"/>
          <w:sz w:val="32"/>
          <w:szCs w:val="32"/>
          <w:lang w:eastAsia="zh-CN"/>
        </w:rPr>
        <w:t>宣传部</w:t>
      </w:r>
      <w:r>
        <w:rPr>
          <w:rFonts w:hint="eastAsia" w:ascii="黑体" w:hAnsi="宋体" w:eastAsia="黑体"/>
          <w:sz w:val="32"/>
          <w:szCs w:val="32"/>
        </w:rPr>
        <w:t>202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宋体" w:eastAsia="黑体"/>
          <w:sz w:val="32"/>
          <w:szCs w:val="32"/>
        </w:rPr>
        <w:t>年度部门预算草案报表</w:t>
      </w:r>
    </w:p>
    <w:p>
      <w:pPr>
        <w:widowControl w:val="0"/>
        <w:numPr>
          <w:ilvl w:val="0"/>
          <w:numId w:val="1"/>
        </w:numPr>
        <w:adjustRightInd/>
        <w:snapToGrid/>
        <w:spacing w:beforeLines="100" w:afterLines="100" w:line="460" w:lineRule="exact"/>
        <w:jc w:val="both"/>
        <w:rPr>
          <w:rFonts w:ascii="方正楷体简体" w:hAnsi="宋体" w:eastAsia="方正楷体简体"/>
          <w:sz w:val="32"/>
          <w:szCs w:val="32"/>
        </w:rPr>
      </w:pPr>
      <w:r>
        <w:rPr>
          <w:rFonts w:hint="eastAsia" w:ascii="方正楷体简体" w:hAnsi="宋体" w:eastAsia="方正楷体简体"/>
          <w:sz w:val="32"/>
          <w:szCs w:val="32"/>
        </w:rPr>
        <w:t>收支总表</w:t>
      </w:r>
    </w:p>
    <w:p>
      <w:pPr>
        <w:widowControl w:val="0"/>
        <w:numPr>
          <w:ilvl w:val="0"/>
          <w:numId w:val="1"/>
        </w:numPr>
        <w:adjustRightInd/>
        <w:snapToGrid/>
        <w:spacing w:beforeLines="100" w:afterLines="100" w:line="460" w:lineRule="exact"/>
        <w:jc w:val="both"/>
        <w:rPr>
          <w:rFonts w:ascii="方正楷体简体" w:hAnsi="宋体" w:eastAsia="方正楷体简体"/>
          <w:sz w:val="32"/>
          <w:szCs w:val="32"/>
        </w:rPr>
      </w:pPr>
      <w:r>
        <w:rPr>
          <w:rFonts w:hint="eastAsia" w:ascii="方正楷体简体" w:hAnsi="宋体" w:eastAsia="方正楷体简体"/>
          <w:sz w:val="32"/>
          <w:szCs w:val="32"/>
        </w:rPr>
        <w:t>收入总表</w:t>
      </w:r>
    </w:p>
    <w:p>
      <w:pPr>
        <w:spacing w:beforeLines="100" w:afterLines="100" w:line="460" w:lineRule="exact"/>
        <w:rPr>
          <w:rFonts w:ascii="方正楷体简体" w:hAnsi="宋体" w:eastAsia="方正楷体简体"/>
          <w:sz w:val="32"/>
          <w:szCs w:val="32"/>
        </w:rPr>
      </w:pPr>
      <w:r>
        <w:rPr>
          <w:rFonts w:hint="eastAsia" w:ascii="方正楷体简体" w:hAnsi="宋体" w:eastAsia="方正楷体简体"/>
          <w:sz w:val="32"/>
          <w:szCs w:val="32"/>
        </w:rPr>
        <w:t>三、支出总表</w:t>
      </w:r>
    </w:p>
    <w:p>
      <w:pPr>
        <w:spacing w:beforeLines="100" w:afterLines="100" w:line="460" w:lineRule="exact"/>
        <w:rPr>
          <w:rFonts w:ascii="方正楷体简体" w:hAnsi="宋体" w:eastAsia="方正楷体简体"/>
          <w:sz w:val="32"/>
          <w:szCs w:val="32"/>
        </w:rPr>
      </w:pPr>
      <w:r>
        <w:rPr>
          <w:rFonts w:hint="eastAsia" w:ascii="方正楷体简体" w:hAnsi="宋体" w:eastAsia="方正楷体简体"/>
          <w:sz w:val="32"/>
          <w:szCs w:val="32"/>
        </w:rPr>
        <w:t>四、财政拨款总表</w:t>
      </w:r>
    </w:p>
    <w:p>
      <w:pPr>
        <w:spacing w:beforeLines="100" w:afterLines="100" w:line="460" w:lineRule="exact"/>
        <w:rPr>
          <w:rFonts w:ascii="方正楷体简体" w:hAnsi="宋体" w:eastAsia="方正楷体简体"/>
          <w:sz w:val="32"/>
          <w:szCs w:val="32"/>
        </w:rPr>
      </w:pPr>
      <w:r>
        <w:rPr>
          <w:rFonts w:hint="eastAsia" w:ascii="方正楷体简体" w:hAnsi="宋体" w:eastAsia="方正楷体简体"/>
          <w:sz w:val="32"/>
          <w:szCs w:val="32"/>
        </w:rPr>
        <w:t>五、一般公共预算收支总表</w:t>
      </w:r>
    </w:p>
    <w:p>
      <w:pPr>
        <w:spacing w:beforeLines="100" w:afterLines="100" w:line="460" w:lineRule="exact"/>
        <w:rPr>
          <w:rFonts w:ascii="方正楷体简体" w:hAnsi="宋体" w:eastAsia="方正楷体简体"/>
          <w:sz w:val="32"/>
          <w:szCs w:val="32"/>
        </w:rPr>
      </w:pPr>
      <w:r>
        <w:rPr>
          <w:rFonts w:hint="eastAsia" w:ascii="方正楷体简体" w:hAnsi="宋体" w:eastAsia="方正楷体简体"/>
          <w:sz w:val="32"/>
          <w:szCs w:val="32"/>
        </w:rPr>
        <w:t>六、一般公共预算支出表</w:t>
      </w:r>
    </w:p>
    <w:p>
      <w:pPr>
        <w:spacing w:beforeLines="100" w:afterLines="100" w:line="460" w:lineRule="exact"/>
        <w:rPr>
          <w:rFonts w:ascii="方正楷体简体" w:hAnsi="宋体" w:eastAsia="方正楷体简体"/>
          <w:sz w:val="32"/>
          <w:szCs w:val="32"/>
        </w:rPr>
      </w:pPr>
      <w:r>
        <w:rPr>
          <w:rFonts w:hint="eastAsia" w:ascii="方正楷体简体" w:hAnsi="宋体" w:eastAsia="方正楷体简体"/>
          <w:sz w:val="32"/>
          <w:szCs w:val="32"/>
        </w:rPr>
        <w:t>七、一般公共预算基本支出表</w:t>
      </w:r>
    </w:p>
    <w:p>
      <w:pPr>
        <w:spacing w:beforeLines="100" w:afterLines="100" w:line="460" w:lineRule="exact"/>
        <w:rPr>
          <w:rFonts w:ascii="方正楷体简体" w:hAnsi="宋体" w:eastAsia="方正楷体简体"/>
          <w:sz w:val="32"/>
          <w:szCs w:val="32"/>
        </w:rPr>
      </w:pPr>
      <w:r>
        <w:rPr>
          <w:rFonts w:hint="eastAsia" w:ascii="方正楷体简体" w:hAnsi="宋体" w:eastAsia="方正楷体简体"/>
          <w:sz w:val="32"/>
          <w:szCs w:val="32"/>
        </w:rPr>
        <w:t>八、一般公共预算“三公”经费支出表</w:t>
      </w:r>
    </w:p>
    <w:p>
      <w:pPr>
        <w:spacing w:beforeLines="100" w:afterLines="100" w:line="460" w:lineRule="exact"/>
        <w:rPr>
          <w:rFonts w:ascii="方正楷体简体" w:hAnsi="宋体" w:eastAsia="方正楷体简体"/>
          <w:sz w:val="32"/>
          <w:szCs w:val="32"/>
        </w:rPr>
      </w:pPr>
      <w:r>
        <w:rPr>
          <w:rFonts w:hint="eastAsia" w:ascii="方正楷体简体" w:hAnsi="宋体" w:eastAsia="方正楷体简体"/>
          <w:sz w:val="32"/>
          <w:szCs w:val="32"/>
        </w:rPr>
        <w:t>九、项目绩效目标表</w:t>
      </w:r>
    </w:p>
    <w:p>
      <w:pPr>
        <w:spacing w:beforeLines="100" w:afterLines="100" w:line="460" w:lineRule="exact"/>
        <w:rPr>
          <w:rFonts w:ascii="方正楷体简体" w:hAnsi="宋体" w:eastAsia="方正楷体简体"/>
          <w:sz w:val="32"/>
          <w:szCs w:val="32"/>
        </w:rPr>
      </w:pPr>
      <w:r>
        <w:rPr>
          <w:rFonts w:hint="eastAsia" w:ascii="方正楷体简体" w:hAnsi="宋体" w:eastAsia="方正楷体简体"/>
          <w:sz w:val="32"/>
          <w:szCs w:val="32"/>
        </w:rPr>
        <w:t>十、政府购买服务预算表</w:t>
      </w:r>
    </w:p>
    <w:p>
      <w:pPr>
        <w:spacing w:beforeLines="100" w:afterLines="100" w:line="460" w:lineRule="exact"/>
        <w:rPr>
          <w:rFonts w:ascii="方正楷体简体" w:hAnsi="宋体" w:eastAsia="方正楷体简体"/>
          <w:sz w:val="32"/>
          <w:szCs w:val="32"/>
        </w:rPr>
      </w:pPr>
      <w:r>
        <w:rPr>
          <w:rFonts w:hint="eastAsia" w:ascii="方正楷体简体" w:hAnsi="宋体" w:eastAsia="方正楷体简体"/>
          <w:sz w:val="32"/>
          <w:szCs w:val="32"/>
        </w:rPr>
        <w:t>十一、政府采购预算表</w:t>
      </w:r>
    </w:p>
    <w:p>
      <w:pPr>
        <w:spacing w:beforeLines="100" w:afterLines="100" w:line="460" w:lineRule="exact"/>
        <w:rPr>
          <w:rFonts w:ascii="方正楷体简体" w:hAnsi="宋体" w:eastAsia="方正楷体简体"/>
          <w:sz w:val="32"/>
          <w:szCs w:val="32"/>
        </w:rPr>
      </w:pPr>
      <w:r>
        <w:rPr>
          <w:rFonts w:hint="eastAsia" w:ascii="方正楷体简体" w:hAnsi="宋体" w:eastAsia="方正楷体简体"/>
          <w:sz w:val="32"/>
          <w:szCs w:val="32"/>
        </w:rPr>
        <w:t>十二、政府性基金收支总表</w:t>
      </w:r>
    </w:p>
    <w:p>
      <w:pPr>
        <w:spacing w:beforeLines="100" w:afterLines="100" w:line="460" w:lineRule="exact"/>
        <w:rPr>
          <w:rFonts w:ascii="方正楷体简体" w:hAnsi="宋体" w:eastAsia="方正楷体简体"/>
          <w:sz w:val="32"/>
          <w:szCs w:val="32"/>
        </w:rPr>
      </w:pPr>
      <w:r>
        <w:rPr>
          <w:rFonts w:hint="eastAsia" w:ascii="方正楷体简体" w:hAnsi="宋体" w:eastAsia="方正楷体简体"/>
          <w:sz w:val="32"/>
          <w:szCs w:val="32"/>
        </w:rPr>
        <w:t>十三、政府性基金预算支出表</w:t>
      </w:r>
    </w:p>
    <w:p>
      <w:pPr>
        <w:spacing w:beforeLines="100" w:afterLines="100" w:line="460" w:lineRule="exact"/>
        <w:rPr>
          <w:rFonts w:ascii="方正楷体简体" w:hAnsi="宋体" w:eastAsia="方正楷体简体"/>
          <w:sz w:val="32"/>
          <w:szCs w:val="32"/>
        </w:rPr>
      </w:pPr>
      <w:r>
        <w:rPr>
          <w:rFonts w:hint="eastAsia" w:ascii="方正楷体简体" w:hAnsi="宋体" w:eastAsia="方正楷体简体"/>
          <w:sz w:val="32"/>
          <w:szCs w:val="32"/>
        </w:rPr>
        <w:t>十四、政府性基金基本支出表</w:t>
      </w:r>
    </w:p>
    <w:p>
      <w:pPr>
        <w:spacing w:beforeLines="100" w:afterLines="100" w:line="460" w:lineRule="exact"/>
        <w:rPr>
          <w:rFonts w:ascii="方正楷体简体" w:hAnsi="宋体" w:eastAsia="方正楷体简体"/>
          <w:sz w:val="32"/>
          <w:szCs w:val="32"/>
        </w:rPr>
      </w:pPr>
      <w:r>
        <w:rPr>
          <w:rFonts w:hint="eastAsia" w:ascii="方正楷体简体" w:hAnsi="宋体" w:eastAsia="方正楷体简体"/>
          <w:sz w:val="32"/>
          <w:szCs w:val="32"/>
        </w:rPr>
        <w:t>十五、政府性基金“三公”经费支出表</w:t>
      </w:r>
    </w:p>
    <w:p>
      <w:pPr>
        <w:spacing w:beforeLines="100" w:afterLines="100" w:line="460" w:lineRule="exact"/>
        <w:rPr>
          <w:rFonts w:ascii="方正楷体简体" w:hAnsi="宋体" w:eastAsia="方正楷体简体"/>
          <w:sz w:val="32"/>
          <w:szCs w:val="32"/>
        </w:rPr>
      </w:pPr>
      <w:r>
        <w:rPr>
          <w:rFonts w:hint="eastAsia" w:ascii="方正楷体简体" w:hAnsi="宋体" w:eastAsia="方正楷体简体"/>
          <w:sz w:val="32"/>
          <w:szCs w:val="32"/>
        </w:rPr>
        <w:t>十六、项目支出表</w:t>
      </w:r>
    </w:p>
    <w:p>
      <w:pPr>
        <w:spacing w:beforeLines="100" w:afterLines="100" w:line="46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第三部分 西藏贡觉县</w:t>
      </w:r>
      <w:r>
        <w:rPr>
          <w:rFonts w:hint="eastAsia" w:ascii="黑体" w:hAnsi="宋体" w:eastAsia="黑体"/>
          <w:sz w:val="32"/>
          <w:szCs w:val="32"/>
          <w:lang w:eastAsia="zh-CN"/>
        </w:rPr>
        <w:t>宣传部</w:t>
      </w:r>
      <w:r>
        <w:rPr>
          <w:rFonts w:hint="eastAsia" w:ascii="黑体" w:hAnsi="宋体" w:eastAsia="黑体"/>
          <w:sz w:val="32"/>
          <w:szCs w:val="32"/>
        </w:rPr>
        <w:t>202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宋体" w:eastAsia="黑体"/>
          <w:sz w:val="32"/>
          <w:szCs w:val="32"/>
        </w:rPr>
        <w:t>年度部门预算情况说明</w:t>
      </w:r>
    </w:p>
    <w:p>
      <w:pPr>
        <w:spacing w:beforeLines="100" w:afterLines="100" w:line="46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第四部分 名词解释</w:t>
      </w:r>
    </w:p>
    <w:p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>
      <w:pPr>
        <w:spacing w:line="576" w:lineRule="exact"/>
        <w:rPr>
          <w:rFonts w:ascii="黑体" w:hAnsi="宋体" w:eastAsia="黑体"/>
          <w:sz w:val="48"/>
          <w:szCs w:val="48"/>
        </w:rPr>
      </w:pPr>
    </w:p>
    <w:p>
      <w:pPr>
        <w:spacing w:line="576" w:lineRule="exact"/>
        <w:rPr>
          <w:rFonts w:ascii="黑体" w:hAnsi="宋体" w:eastAsia="黑体"/>
          <w:sz w:val="48"/>
          <w:szCs w:val="48"/>
        </w:rPr>
      </w:pPr>
    </w:p>
    <w:p>
      <w:pPr>
        <w:spacing w:line="576" w:lineRule="exact"/>
        <w:rPr>
          <w:rFonts w:ascii="黑体" w:hAnsi="宋体" w:eastAsia="黑体"/>
          <w:sz w:val="48"/>
          <w:szCs w:val="48"/>
        </w:rPr>
      </w:pPr>
    </w:p>
    <w:p>
      <w:pPr>
        <w:spacing w:line="576" w:lineRule="exact"/>
        <w:rPr>
          <w:rFonts w:ascii="黑体" w:hAnsi="宋体" w:eastAsia="黑体"/>
          <w:sz w:val="48"/>
          <w:szCs w:val="48"/>
        </w:rPr>
      </w:pPr>
    </w:p>
    <w:p>
      <w:pPr>
        <w:spacing w:line="576" w:lineRule="exact"/>
        <w:rPr>
          <w:rFonts w:ascii="黑体" w:hAnsi="宋体" w:eastAsia="黑体"/>
          <w:sz w:val="48"/>
          <w:szCs w:val="48"/>
        </w:rPr>
      </w:pPr>
    </w:p>
    <w:p>
      <w:pPr>
        <w:spacing w:line="576" w:lineRule="exact"/>
        <w:rPr>
          <w:rFonts w:ascii="黑体" w:hAnsi="宋体" w:eastAsia="黑体"/>
          <w:sz w:val="48"/>
          <w:szCs w:val="48"/>
        </w:rPr>
      </w:pPr>
    </w:p>
    <w:p>
      <w:pPr>
        <w:spacing w:line="576" w:lineRule="exact"/>
        <w:rPr>
          <w:rFonts w:ascii="黑体" w:hAnsi="宋体" w:eastAsia="黑体"/>
          <w:sz w:val="48"/>
          <w:szCs w:val="48"/>
        </w:rPr>
      </w:pPr>
    </w:p>
    <w:p>
      <w:pPr>
        <w:spacing w:line="576" w:lineRule="exact"/>
        <w:rPr>
          <w:rFonts w:ascii="黑体" w:hAnsi="宋体" w:eastAsia="黑体"/>
          <w:sz w:val="48"/>
          <w:szCs w:val="48"/>
        </w:rPr>
      </w:pPr>
    </w:p>
    <w:p>
      <w:pPr>
        <w:spacing w:line="576" w:lineRule="exact"/>
        <w:rPr>
          <w:rFonts w:ascii="黑体" w:hAnsi="宋体" w:eastAsia="黑体"/>
          <w:sz w:val="48"/>
          <w:szCs w:val="48"/>
        </w:rPr>
      </w:pPr>
    </w:p>
    <w:p>
      <w:pPr>
        <w:spacing w:line="576" w:lineRule="exact"/>
        <w:rPr>
          <w:rFonts w:ascii="黑体" w:hAnsi="宋体" w:eastAsia="黑体"/>
          <w:sz w:val="48"/>
          <w:szCs w:val="48"/>
        </w:rPr>
      </w:pPr>
    </w:p>
    <w:p>
      <w:pPr>
        <w:spacing w:line="576" w:lineRule="exact"/>
        <w:rPr>
          <w:rFonts w:ascii="黑体" w:hAnsi="宋体" w:eastAsia="黑体"/>
          <w:sz w:val="48"/>
          <w:szCs w:val="48"/>
        </w:rPr>
      </w:pPr>
    </w:p>
    <w:p>
      <w:pPr>
        <w:spacing w:line="576" w:lineRule="exact"/>
        <w:rPr>
          <w:rFonts w:ascii="黑体" w:hAnsi="宋体" w:eastAsia="黑体"/>
          <w:sz w:val="48"/>
          <w:szCs w:val="48"/>
        </w:rPr>
      </w:pPr>
    </w:p>
    <w:p>
      <w:pPr>
        <w:pStyle w:val="2"/>
        <w:adjustRightInd w:val="0"/>
        <w:snapToGrid w:val="0"/>
        <w:spacing w:line="576" w:lineRule="exact"/>
        <w:rPr>
          <w:rFonts w:ascii="黑体" w:hAnsi="宋体" w:eastAsia="黑体" w:cstheme="minorBidi"/>
          <w:kern w:val="0"/>
          <w:sz w:val="48"/>
          <w:szCs w:val="48"/>
        </w:rPr>
      </w:pPr>
    </w:p>
    <w:p>
      <w:pPr>
        <w:pStyle w:val="2"/>
        <w:adjustRightInd w:val="0"/>
        <w:snapToGrid w:val="0"/>
        <w:spacing w:line="576" w:lineRule="exact"/>
        <w:rPr>
          <w:rFonts w:ascii="黑体" w:hAnsi="宋体" w:eastAsia="黑体"/>
          <w:sz w:val="48"/>
          <w:szCs w:val="48"/>
        </w:rPr>
      </w:pPr>
    </w:p>
    <w:p>
      <w:pPr>
        <w:spacing w:after="0" w:line="576" w:lineRule="exact"/>
        <w:jc w:val="center"/>
        <w:rPr>
          <w:rFonts w:ascii="黑体" w:hAnsi="宋体" w:eastAsia="黑体"/>
          <w:sz w:val="48"/>
          <w:szCs w:val="48"/>
        </w:rPr>
      </w:pPr>
      <w:r>
        <w:rPr>
          <w:rFonts w:hint="eastAsia" w:ascii="黑体" w:hAnsi="宋体" w:eastAsia="黑体"/>
          <w:sz w:val="48"/>
          <w:szCs w:val="48"/>
        </w:rPr>
        <w:t xml:space="preserve">第一部分 </w:t>
      </w:r>
    </w:p>
    <w:p>
      <w:pPr>
        <w:spacing w:after="0" w:line="576" w:lineRule="exact"/>
        <w:jc w:val="center"/>
        <w:rPr>
          <w:rFonts w:ascii="黑体" w:hAnsi="宋体" w:eastAsia="黑体"/>
          <w:sz w:val="48"/>
          <w:szCs w:val="48"/>
        </w:rPr>
      </w:pPr>
    </w:p>
    <w:p>
      <w:pPr>
        <w:spacing w:after="0" w:line="576" w:lineRule="exact"/>
        <w:jc w:val="center"/>
        <w:rPr>
          <w:rFonts w:ascii="黑体" w:hAnsi="宋体" w:eastAsia="黑体"/>
          <w:sz w:val="48"/>
          <w:szCs w:val="48"/>
        </w:rPr>
      </w:pPr>
      <w:r>
        <w:rPr>
          <w:rFonts w:hint="eastAsia" w:ascii="黑体" w:hAnsi="宋体" w:eastAsia="黑体"/>
          <w:sz w:val="48"/>
          <w:szCs w:val="48"/>
        </w:rPr>
        <w:t>西藏贡觉县</w:t>
      </w:r>
      <w:r>
        <w:rPr>
          <w:rFonts w:hint="eastAsia" w:ascii="黑体" w:hAnsi="宋体" w:eastAsia="黑体"/>
          <w:sz w:val="48"/>
          <w:szCs w:val="48"/>
          <w:lang w:eastAsia="zh-CN"/>
        </w:rPr>
        <w:t>宣传部</w:t>
      </w:r>
      <w:r>
        <w:rPr>
          <w:rFonts w:hint="eastAsia" w:ascii="黑体" w:hAnsi="宋体" w:eastAsia="黑体"/>
          <w:sz w:val="48"/>
          <w:szCs w:val="48"/>
        </w:rPr>
        <w:t>概况</w:t>
      </w:r>
    </w:p>
    <w:p>
      <w:pPr>
        <w:spacing w:after="0" w:line="576" w:lineRule="exact"/>
        <w:jc w:val="center"/>
        <w:rPr>
          <w:rFonts w:ascii="黑体" w:hAnsi="宋体" w:eastAsia="黑体"/>
          <w:sz w:val="48"/>
          <w:szCs w:val="48"/>
        </w:rPr>
      </w:pPr>
    </w:p>
    <w:p>
      <w:pPr>
        <w:spacing w:after="0" w:line="576" w:lineRule="exact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 xml:space="preserve">    </w:t>
      </w:r>
      <w:r>
        <w:rPr>
          <w:rFonts w:hint="eastAsia" w:ascii="黑体" w:hAnsi="宋体" w:eastAsia="黑体"/>
          <w:bCs/>
          <w:sz w:val="32"/>
          <w:szCs w:val="32"/>
        </w:rPr>
        <w:t>一、主要职能</w:t>
      </w:r>
    </w:p>
    <w:p>
      <w:pPr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(一)宣传贯彻党的路线、方针、政策，拟订全县宣传思想 文化工作事业发展总体规划并组织实施，统筹协调推进全县宣传 思想文化领域法治建设，按照县委部署，在市委宣传部的指导下， 协调全县宣传思想文化系统各部门之间的工作;贯彻落实上级党 委和县委对网络安全和信息化工作的方针政策、统一领导及工作 部署，协调督促有关方面落实县委网信委的决定事项、工作部署 和要求;开展对涉及政治、经济、文化、社会等各个领域的网络 安全和信息化重大问题研究，向县委网信委提出工作建议;贯彻执行上级有关广播电视、网络视听节目服务管理的政策措施，加强 广播电视阵地管理，把握正确的舆论导向和创作导向;负责拟订 全县广播电视、网络视听节目服务管理的措施并组织实施和监督 检查，指导、推进全县广播电视领域的体制机制改革。</w:t>
      </w:r>
    </w:p>
    <w:p>
      <w:pPr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(二)统筹协调全县党的意识形态工作，贯彻落实党中央、 自治区党委、市委和县委关于意识形态工作的决策部署，组织协 调意识形态工作责任制落实和日常监督检查，结合巡察工作开展 专项检查。</w:t>
      </w:r>
    </w:p>
    <w:p>
      <w:pPr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(三)统筹指导协调全县理论研究、理论学习、理论宣传工 作，组织推动理论武装工作，组织实施马克思主义理论研究和建 设工程。</w:t>
      </w:r>
    </w:p>
    <w:p>
      <w:pPr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(四)负责规划组织全县思想政治工作，配合县委组织部做 好党员教育，指导协调编写党员教育教材，组织开展群众思想教 育工作。</w:t>
      </w:r>
    </w:p>
    <w:p>
      <w:pPr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(五)负责提高新闻舆论传播力、引导力、影响力，做好正 面宣传贡觉县工作。统筹分析研判和引导社会舆论，指导协调全 县各新闻单位工作，组织全县突发公共事件应急新闻工作。</w:t>
      </w:r>
    </w:p>
    <w:p>
      <w:pPr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(六)贯彻落实新闻出版业的管理政策，管理全县新闻出版 行政事务，组织协调有关本系统行政审批工作，统筹规划和指导 协调全县新闻出版事业、产业发展，监督管理出版物内容和质量， 监督管理印刷业，管理著作权，管理出版物进口等;组织指导协 调全县“扫黄打非”工作，防范和打击十四世达赖集团“藏独”反宣渗透;负责县内主要媒体及记者站的监督管理。 </w:t>
      </w:r>
    </w:p>
    <w:p>
      <w:pPr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(七)从宏观上统筹指导协调全县互联网宣传和信息内容管 理工作;统筹协调全县数字新媒体的建设与管理;指导互联网舆 情信息分析研判、处置协调的监督管理，统筹协调开展网络安全 检查，指导网络安全信息共享和通报;协调制定重大网络舆情宣</w:t>
      </w: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传引导口径，推动全县信息化工作。 (八)从宏观上统筹指导协调推动全县精神文化产品的创作</w:t>
      </w: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和生产，协调组织中华优秀传统文化和优秀民族民间文化传承发 展有关工作，指导协调推动群众文化建设，负责全县社会主义精 神文明建设活动的规划和组织实施。</w:t>
      </w: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(九)组织起草全县网络安全和信息化发展规划;统筹推进 网络党建工作;推动网络社会工作和网络文化、网络文明建设; 管理、发展、联系和服务互联网社会组织;统筹推进网络安全和 信息化法治、标准建设，负责相关法规、规章的实施和监督工作; 监督实施网络安全和信息化领域国家标准;依法完善与信息化相 关的统计调查制度;承担网络人士的统战工作。</w:t>
      </w: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(十)统筹推进技术管网能力建设，做好预知、预警、预置 工作;协调有关部门建立健全互联网新技术新应用新业态安全风 险防控机制、互联网信息内容管理技术体系、网络应急指挥体系; 负责协调处理全县网络安全和信息化重大突发事件与有关应急工 作;创新管控能力建设和管理机制，实现精准封堵。</w:t>
      </w: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(十一)负责社会网络管理工作，承担社会网站、论坛、电子邮件、微博、微博客、QQ、微信、网络直播、短视频、小程序 等具有社会动员功能网络应用的属地管理工作;统筹协调移动互 联网管理，推进移动互联网健康有序发展;承担移动端新媒体新 应用创新发展和属地管理。</w:t>
      </w:r>
    </w:p>
    <w:p>
      <w:pPr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(十二)贯彻落实互联网信息服务资本准入和网络信息安全 审查的有关政策;依法承担互联网新闻信息服务许可审批工作和 日常监管;指导有关部门做好督促电信运营企业、接入服务企业、 域名注册管理和服务机构等做好域名注册、网站登记备案、接入 以及网络行为主体身份信息核对等基础管理工作。</w:t>
      </w:r>
    </w:p>
    <w:p>
      <w:pPr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(十三)统筹全县网络综合治理体系建设，协调有关部门实 施相关行业网络安全规划及保障体系，协调推进关键信息基础设 施和信息安全等级保护工作;指导推进党政部门、重点行业网络 安全保障和信息化工作，统筹网络安全和信息化技术系统科研攻 关和本地化应用研究，推进网络安全和信息化军民融合发展。</w:t>
      </w:r>
    </w:p>
    <w:p>
      <w:pPr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(十四)统筹协调全县网络安全工作和相关监督管理工作， 拟订全县网络安全相关措施，推进网络安全有关工程建设，协调 信息化发展中的重大问题，协调推动公共服务和社会治理信息化; 协调处理信息安全重大事件。</w:t>
      </w:r>
    </w:p>
    <w:p>
      <w:pPr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(十五)负责全县互联网信息内容管理，拟订网络新闻信息 传播措施和制度，组织协调网络宣传管理和舆论引导工作，推进 网上正能量传播;负责网络信息内容监督管理执法，组织开展网 络舆论生态治理，处置和封堵网上有害信息，依照相关法律和规定查处违法违规行为和网站。 </w:t>
      </w:r>
    </w:p>
    <w:p>
      <w:pPr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(十六)推进网络阵地建设，负责重点新闻网站规划建设，指导协调网络游戏、网络视听、网络出版等相关业务;负责网站 转载新闻稿源的管理。</w:t>
      </w:r>
    </w:p>
    <w:p>
      <w:pPr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(十七)贯彻落实扶持信息网络行业自主创新和发展的政策 体系，开展互联网经济和发展态势研究，推动建立健全信息网络 行业投融资支持服务体系、技术创新服务体系，统筹协调全县重 要信息资源的开发利用与共享中的重大问题。</w:t>
      </w:r>
    </w:p>
    <w:p>
      <w:pPr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(十八)指导相关行业开展金融信息服务业务;组织开展金 融信息服务市场监管;协调金融监管部门建立网络金融信息发布、 传播监管制度及工作机制。</w:t>
      </w:r>
    </w:p>
    <w:p>
      <w:pPr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(十九)贯彻落实互联网数据管理有关政策和互联网新闻信 息传播技术标准;指导涉及全县互联网安全运行的重大工程和系 统建设的规划、论证工作;指导推进新技术新应用安全评估。</w:t>
      </w:r>
    </w:p>
    <w:p>
      <w:pPr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(二十)组织拟订网络安全和信息化干部人才队伍发展规划， 组织开展网络安全和信息化干部教育培训和人才队伍建设，指导 互联网新闻信息服务从业人员教育培训和考评工作，组织开展网 络媒介素养教育。负责网络评论工作，指导推动网络评论队伍建 设，组织实施网络评论工作和网络评论队伍建设的相关政策。</w:t>
      </w:r>
    </w:p>
    <w:p>
      <w:pPr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(二十一)负责管理全县电影行政事务，指导监管电影放映 工作，指导协调全县重大电影活动。</w:t>
      </w:r>
    </w:p>
    <w:p>
      <w:pPr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(二十二)对全县新闻出版、广播影视、文化艺术业改革发展研究提出政策性建议，统筹指导协调文化体制改革和文化事业、 文化产业及旅游业发展，指导协调国有文化资产监管工作。</w:t>
      </w:r>
    </w:p>
    <w:p>
      <w:pPr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(二十三)负责网络舆情工作，统筹指导全县舆情信息工作， 组织开展网络舆情监测、收集、分析和研判工作，跟踪了解和掌 握网络舆情动态;统筹协调县市网络违法和不良信息举报、核查、 处置、激励工作;依法规范互联网舆情服务市场。跟踪研究境外 涉藏舆情，研究制定对外宣传对策和涉藏舆论斗争策略，会同有 关部门组织涉藏及反邪教等方面对外宣传和舆论斗争工作;负责 拟订对外宣传口径，配合做好人权宣传工作。</w:t>
      </w:r>
    </w:p>
    <w:p>
      <w:pPr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(二十四)负责拟订、指导、协调、推动全县广播电视领域 事业发展规划并组织实施;组织实施公共服务重大公益工程和公 益活动，指导、监督全县小广播电视重点基础设施建设，扶助贫 困地区广播电视建设和发展。</w:t>
      </w:r>
    </w:p>
    <w:p>
      <w:pPr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(二十五)负责对全县各类广播电视机构进行业务指导和行 业监管，会同有关部门对网络视听节目服务机构进行监管;实施 依法设定的行政许可，指导、监督广播电视和网络视听执法工作; 指导全县电视剧行业发展和电视剧创作生产;监督管理、审查广 播电视节目、网络视听节目的内容和质量;指导、监管广播电视 广告播放。</w:t>
      </w:r>
    </w:p>
    <w:p>
      <w:pPr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(二十六)指导、协调全县广播电视重大宣传活动，根据国 家、自治区政策开展广播电视节目评价工作;负责推进广播电视 与新媒体新技术新业态融合发展，落实国家广电网与电信网、互联网三网融合政策措施。 (二十七)拟订全县广播电视科技发展规划并组织实施和监督检查，贯彻执行国家、自治区行业技术标准;负责监管广播电 视节目传输覆盖、监测和安全播出，推进应急广播体系建设;负 责本行业领域安全生产监管和应急处置工作。</w:t>
      </w:r>
    </w:p>
    <w:p>
      <w:pPr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(二十八)贯彻执行关于涉藏外宣工作方针政策，统筹协调 全县对外宣传工作，指导协调有关部门研究拟订我县对外宣传事 业发展总体规划;负责对外文化、广播电视交流合作工作，协调 推动中华文化、广播电视领域“走出去”工作;统筹协调组织开 展新闻发布工作，承担县委新闻发布有关组织协调工作，负责县 人民政府新闻发布组织实施工作，指导协调县直各部门的新闻发 布工作，推动新闻发言人制度建设;配合做好境外来访记者采访 事务方面的工作。</w:t>
      </w:r>
    </w:p>
    <w:p>
      <w:pPr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(二十九)受县委委托，会同县委组织部管理县直宣传文化 单位的干部;负责有关重要宣传舆论阵地和重要岗位干部管理; 负责组织开展宣传思想文化系统、网络安全和信息化、广播电视 和网络视听行业人员教育培训和人才工作。</w:t>
      </w:r>
    </w:p>
    <w:p>
      <w:pPr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(三十)对互联网宣传和信息内容管理方面的工作实施方针、 政策的指导;归口领导贡觉广播电视台。</w:t>
      </w:r>
    </w:p>
    <w:p>
      <w:pPr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(三十一)完成县委及县委网信委交办的其他任务。 </w:t>
      </w:r>
    </w:p>
    <w:p>
      <w:pPr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第五条 县委宣传部不设内设机构。</w:t>
      </w:r>
    </w:p>
    <w:p>
      <w:pPr>
        <w:pStyle w:val="2"/>
        <w:adjustRightInd w:val="0"/>
        <w:snapToGrid w:val="0"/>
        <w:spacing w:line="576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2.人员情况。</w:t>
      </w:r>
    </w:p>
    <w:p>
      <w:pPr>
        <w:pStyle w:val="2"/>
        <w:adjustRightInd w:val="0"/>
        <w:snapToGrid w:val="0"/>
        <w:spacing w:line="576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县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宣传部</w:t>
      </w:r>
      <w:r>
        <w:rPr>
          <w:rFonts w:hint="eastAsia" w:ascii="仿宋_GB2312" w:hAnsi="仿宋" w:eastAsia="仿宋_GB2312" w:cs="Times New Roman"/>
          <w:sz w:val="32"/>
          <w:szCs w:val="32"/>
        </w:rPr>
        <w:t>行政编制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Times New Roman"/>
          <w:sz w:val="32"/>
          <w:szCs w:val="32"/>
        </w:rPr>
        <w:t>名。部门领导职数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Times New Roman"/>
          <w:sz w:val="32"/>
          <w:szCs w:val="32"/>
        </w:rPr>
        <w:t>名。</w:t>
      </w:r>
    </w:p>
    <w:p>
      <w:pPr>
        <w:pStyle w:val="2"/>
        <w:adjustRightInd w:val="0"/>
        <w:snapToGrid w:val="0"/>
        <w:spacing w:line="576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3.车辆情况。</w:t>
      </w:r>
    </w:p>
    <w:p>
      <w:pPr>
        <w:pStyle w:val="2"/>
        <w:adjustRightInd w:val="0"/>
        <w:snapToGrid w:val="0"/>
        <w:spacing w:line="576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单位公务车辆编制数1辆，实有公务车辆1辆。</w:t>
      </w:r>
    </w:p>
    <w:p>
      <w:pPr>
        <w:spacing w:line="576" w:lineRule="exact"/>
        <w:rPr>
          <w:rFonts w:ascii="黑体" w:hAnsi="宋体" w:eastAsia="黑体"/>
          <w:sz w:val="48"/>
          <w:szCs w:val="48"/>
        </w:rPr>
      </w:pPr>
    </w:p>
    <w:p>
      <w:pPr>
        <w:spacing w:line="576" w:lineRule="exact"/>
        <w:rPr>
          <w:rFonts w:ascii="黑体" w:hAnsi="宋体" w:eastAsia="黑体"/>
          <w:sz w:val="48"/>
          <w:szCs w:val="48"/>
        </w:rPr>
      </w:pPr>
    </w:p>
    <w:p>
      <w:pPr>
        <w:spacing w:line="576" w:lineRule="exact"/>
        <w:rPr>
          <w:rFonts w:ascii="黑体" w:hAnsi="宋体" w:eastAsia="黑体"/>
          <w:sz w:val="48"/>
          <w:szCs w:val="48"/>
        </w:rPr>
      </w:pPr>
    </w:p>
    <w:p>
      <w:pPr>
        <w:spacing w:line="576" w:lineRule="exact"/>
        <w:rPr>
          <w:rFonts w:ascii="黑体" w:hAnsi="宋体" w:eastAsia="黑体"/>
          <w:sz w:val="48"/>
          <w:szCs w:val="48"/>
        </w:rPr>
      </w:pPr>
    </w:p>
    <w:p>
      <w:pPr>
        <w:spacing w:line="576" w:lineRule="exact"/>
        <w:rPr>
          <w:rFonts w:ascii="黑体" w:hAnsi="宋体" w:eastAsia="黑体"/>
          <w:sz w:val="48"/>
          <w:szCs w:val="48"/>
        </w:rPr>
      </w:pPr>
    </w:p>
    <w:p>
      <w:pPr>
        <w:spacing w:line="576" w:lineRule="exact"/>
        <w:rPr>
          <w:rFonts w:ascii="黑体" w:hAnsi="宋体" w:eastAsia="黑体"/>
          <w:sz w:val="48"/>
          <w:szCs w:val="48"/>
        </w:rPr>
      </w:pPr>
    </w:p>
    <w:p>
      <w:pPr>
        <w:spacing w:line="576" w:lineRule="exact"/>
        <w:rPr>
          <w:rFonts w:ascii="黑体" w:hAnsi="宋体" w:eastAsia="黑体"/>
          <w:sz w:val="48"/>
          <w:szCs w:val="48"/>
        </w:rPr>
      </w:pPr>
    </w:p>
    <w:p>
      <w:pPr>
        <w:spacing w:line="576" w:lineRule="exact"/>
        <w:rPr>
          <w:rFonts w:ascii="黑体" w:hAnsi="宋体" w:eastAsia="黑体"/>
          <w:sz w:val="48"/>
          <w:szCs w:val="48"/>
        </w:rPr>
      </w:pPr>
    </w:p>
    <w:p>
      <w:pPr>
        <w:spacing w:line="576" w:lineRule="exact"/>
        <w:jc w:val="center"/>
        <w:rPr>
          <w:rFonts w:ascii="黑体" w:hAnsi="宋体" w:eastAsia="黑体"/>
          <w:sz w:val="48"/>
          <w:szCs w:val="48"/>
        </w:rPr>
      </w:pPr>
      <w:r>
        <w:rPr>
          <w:rFonts w:hint="eastAsia" w:ascii="黑体" w:hAnsi="宋体" w:eastAsia="黑体"/>
          <w:sz w:val="48"/>
          <w:szCs w:val="48"/>
        </w:rPr>
        <w:t>第二部分</w:t>
      </w:r>
    </w:p>
    <w:p>
      <w:pPr>
        <w:spacing w:line="576" w:lineRule="exact"/>
        <w:jc w:val="center"/>
        <w:rPr>
          <w:rFonts w:ascii="黑体" w:hAnsi="宋体" w:eastAsia="黑体"/>
          <w:sz w:val="48"/>
          <w:szCs w:val="48"/>
        </w:rPr>
      </w:pPr>
    </w:p>
    <w:p>
      <w:pPr>
        <w:spacing w:line="576" w:lineRule="exact"/>
        <w:jc w:val="center"/>
        <w:rPr>
          <w:rFonts w:ascii="黑体" w:hAnsi="宋体" w:eastAsia="黑体"/>
          <w:sz w:val="48"/>
          <w:szCs w:val="48"/>
        </w:rPr>
      </w:pPr>
      <w:r>
        <w:rPr>
          <w:rFonts w:hint="eastAsia" w:ascii="黑体" w:hAnsi="宋体" w:eastAsia="黑体"/>
          <w:sz w:val="48"/>
          <w:szCs w:val="48"/>
        </w:rPr>
        <w:t>西藏贡觉县</w:t>
      </w:r>
      <w:r>
        <w:rPr>
          <w:rFonts w:hint="eastAsia" w:ascii="黑体" w:hAnsi="宋体" w:eastAsia="黑体"/>
          <w:sz w:val="48"/>
          <w:szCs w:val="48"/>
          <w:lang w:eastAsia="zh-CN"/>
        </w:rPr>
        <w:t>宣传部</w:t>
      </w:r>
      <w:r>
        <w:rPr>
          <w:rFonts w:hint="eastAsia" w:ascii="黑体" w:hAnsi="宋体" w:eastAsia="黑体"/>
          <w:sz w:val="48"/>
          <w:szCs w:val="48"/>
        </w:rPr>
        <w:t>202</w:t>
      </w:r>
      <w:r>
        <w:rPr>
          <w:rFonts w:hint="eastAsia" w:ascii="黑体" w:hAnsi="宋体" w:eastAsia="黑体"/>
          <w:sz w:val="48"/>
          <w:szCs w:val="48"/>
          <w:lang w:val="en-US" w:eastAsia="zh-CN"/>
        </w:rPr>
        <w:t>4</w:t>
      </w:r>
      <w:r>
        <w:rPr>
          <w:rFonts w:hint="eastAsia" w:ascii="黑体" w:hAnsi="宋体" w:eastAsia="黑体"/>
          <w:sz w:val="48"/>
          <w:szCs w:val="48"/>
        </w:rPr>
        <w:t>年度部门预算</w:t>
      </w:r>
    </w:p>
    <w:p>
      <w:pPr>
        <w:spacing w:line="576" w:lineRule="exact"/>
        <w:jc w:val="center"/>
        <w:rPr>
          <w:rFonts w:ascii="黑体" w:hAnsi="宋体" w:eastAsia="黑体"/>
          <w:sz w:val="48"/>
          <w:szCs w:val="48"/>
        </w:rPr>
      </w:pPr>
      <w:r>
        <w:rPr>
          <w:rFonts w:hint="eastAsia" w:ascii="黑体" w:hAnsi="宋体" w:eastAsia="黑体"/>
          <w:sz w:val="48"/>
          <w:szCs w:val="48"/>
        </w:rPr>
        <w:t>草案报表</w:t>
      </w:r>
    </w:p>
    <w:p>
      <w:pPr>
        <w:spacing w:line="576" w:lineRule="exact"/>
        <w:jc w:val="center"/>
        <w:rPr>
          <w:rFonts w:ascii="黑体" w:hAnsi="宋体" w:eastAsia="黑体"/>
          <w:sz w:val="48"/>
          <w:szCs w:val="48"/>
        </w:rPr>
      </w:pPr>
      <w:r>
        <w:rPr>
          <w:rFonts w:hint="eastAsia" w:ascii="黑体" w:hAnsi="宋体" w:eastAsia="黑体"/>
          <w:sz w:val="48"/>
          <w:szCs w:val="48"/>
        </w:rPr>
        <w:t>（表格见附件）</w:t>
      </w:r>
    </w:p>
    <w:p>
      <w:pPr>
        <w:spacing w:line="576" w:lineRule="exact"/>
        <w:rPr>
          <w:rFonts w:ascii="黑体" w:hAnsi="宋体" w:eastAsia="黑体"/>
          <w:sz w:val="48"/>
          <w:szCs w:val="48"/>
        </w:rPr>
      </w:pPr>
    </w:p>
    <w:p>
      <w:pPr>
        <w:spacing w:line="576" w:lineRule="exact"/>
        <w:rPr>
          <w:rFonts w:ascii="黑体" w:hAnsi="宋体" w:eastAsia="黑体"/>
          <w:sz w:val="48"/>
          <w:szCs w:val="48"/>
        </w:rPr>
      </w:pPr>
    </w:p>
    <w:p>
      <w:pPr>
        <w:spacing w:line="576" w:lineRule="exact"/>
        <w:rPr>
          <w:rFonts w:ascii="黑体" w:hAnsi="宋体" w:eastAsia="黑体"/>
          <w:sz w:val="48"/>
          <w:szCs w:val="48"/>
        </w:rPr>
      </w:pPr>
    </w:p>
    <w:p>
      <w:pPr>
        <w:spacing w:line="576" w:lineRule="exact"/>
        <w:rPr>
          <w:rFonts w:ascii="黑体" w:hAnsi="宋体" w:eastAsia="黑体"/>
          <w:sz w:val="48"/>
          <w:szCs w:val="48"/>
        </w:rPr>
      </w:pPr>
    </w:p>
    <w:p>
      <w:pPr>
        <w:spacing w:line="576" w:lineRule="exact"/>
        <w:rPr>
          <w:rFonts w:ascii="黑体" w:hAnsi="宋体" w:eastAsia="黑体"/>
          <w:sz w:val="48"/>
          <w:szCs w:val="48"/>
        </w:rPr>
      </w:pPr>
    </w:p>
    <w:p>
      <w:pPr>
        <w:spacing w:line="576" w:lineRule="exact"/>
        <w:rPr>
          <w:rFonts w:ascii="黑体" w:hAnsi="宋体" w:eastAsia="黑体"/>
          <w:sz w:val="48"/>
          <w:szCs w:val="48"/>
        </w:rPr>
      </w:pPr>
    </w:p>
    <w:p>
      <w:pPr>
        <w:spacing w:line="576" w:lineRule="exact"/>
        <w:rPr>
          <w:rFonts w:ascii="黑体" w:hAnsi="宋体" w:eastAsia="黑体"/>
          <w:sz w:val="48"/>
          <w:szCs w:val="48"/>
        </w:rPr>
      </w:pPr>
    </w:p>
    <w:p>
      <w:pPr>
        <w:spacing w:line="576" w:lineRule="exact"/>
        <w:rPr>
          <w:rFonts w:ascii="黑体" w:hAnsi="宋体" w:eastAsia="黑体"/>
          <w:sz w:val="48"/>
          <w:szCs w:val="48"/>
        </w:rPr>
      </w:pPr>
    </w:p>
    <w:p>
      <w:pPr>
        <w:spacing w:line="576" w:lineRule="exact"/>
        <w:rPr>
          <w:rFonts w:ascii="黑体" w:hAnsi="宋体" w:eastAsia="黑体"/>
          <w:sz w:val="48"/>
          <w:szCs w:val="48"/>
        </w:rPr>
      </w:pPr>
    </w:p>
    <w:p>
      <w:pPr>
        <w:spacing w:line="576" w:lineRule="exact"/>
        <w:rPr>
          <w:rFonts w:ascii="黑体" w:hAnsi="宋体" w:eastAsia="黑体"/>
          <w:sz w:val="48"/>
          <w:szCs w:val="48"/>
        </w:rPr>
      </w:pPr>
    </w:p>
    <w:p>
      <w:pPr>
        <w:spacing w:line="576" w:lineRule="exact"/>
        <w:jc w:val="center"/>
        <w:rPr>
          <w:rFonts w:ascii="黑体" w:hAnsi="宋体" w:eastAsia="黑体"/>
          <w:sz w:val="48"/>
          <w:szCs w:val="48"/>
        </w:rPr>
      </w:pPr>
      <w:r>
        <w:rPr>
          <w:rFonts w:hint="eastAsia" w:ascii="黑体" w:hAnsi="宋体" w:eastAsia="黑体"/>
          <w:sz w:val="48"/>
          <w:szCs w:val="48"/>
        </w:rPr>
        <w:t>第三部分</w:t>
      </w:r>
    </w:p>
    <w:p>
      <w:pPr>
        <w:spacing w:after="0" w:line="576" w:lineRule="exact"/>
        <w:jc w:val="center"/>
        <w:rPr>
          <w:rFonts w:ascii="黑体" w:hAnsi="宋体" w:eastAsia="黑体"/>
          <w:sz w:val="48"/>
          <w:szCs w:val="48"/>
        </w:rPr>
      </w:pPr>
    </w:p>
    <w:p>
      <w:pPr>
        <w:spacing w:after="0" w:line="576" w:lineRule="exact"/>
        <w:jc w:val="center"/>
        <w:rPr>
          <w:rFonts w:ascii="黑体" w:hAnsi="宋体" w:eastAsia="黑体"/>
          <w:sz w:val="48"/>
          <w:szCs w:val="48"/>
        </w:rPr>
      </w:pPr>
      <w:r>
        <w:rPr>
          <w:rFonts w:hint="eastAsia" w:ascii="黑体" w:hAnsi="宋体" w:eastAsia="黑体"/>
          <w:sz w:val="48"/>
          <w:szCs w:val="48"/>
        </w:rPr>
        <w:t>西藏贡觉县</w:t>
      </w:r>
      <w:r>
        <w:rPr>
          <w:rFonts w:hint="eastAsia" w:ascii="黑体" w:hAnsi="宋体" w:eastAsia="黑体"/>
          <w:sz w:val="48"/>
          <w:szCs w:val="48"/>
          <w:lang w:eastAsia="zh-CN"/>
        </w:rPr>
        <w:t>宣传部</w:t>
      </w:r>
      <w:r>
        <w:rPr>
          <w:rFonts w:hint="eastAsia" w:ascii="黑体" w:hAnsi="宋体" w:eastAsia="黑体"/>
          <w:sz w:val="48"/>
          <w:szCs w:val="48"/>
        </w:rPr>
        <w:t>202</w:t>
      </w:r>
      <w:r>
        <w:rPr>
          <w:rFonts w:hint="eastAsia" w:ascii="黑体" w:hAnsi="宋体" w:eastAsia="黑体"/>
          <w:sz w:val="48"/>
          <w:szCs w:val="48"/>
          <w:lang w:val="en-US" w:eastAsia="zh-CN"/>
        </w:rPr>
        <w:t>4</w:t>
      </w:r>
      <w:r>
        <w:rPr>
          <w:rFonts w:hint="eastAsia" w:ascii="黑体" w:hAnsi="宋体" w:eastAsia="黑体"/>
          <w:sz w:val="48"/>
          <w:szCs w:val="48"/>
        </w:rPr>
        <w:t>年度部门预算</w:t>
      </w:r>
    </w:p>
    <w:p>
      <w:pPr>
        <w:spacing w:after="0" w:line="576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hAnsi="宋体" w:eastAsia="黑体"/>
          <w:sz w:val="48"/>
          <w:szCs w:val="48"/>
        </w:rPr>
        <w:t>情况说明</w:t>
      </w:r>
    </w:p>
    <w:p>
      <w:pPr>
        <w:spacing w:line="576" w:lineRule="exact"/>
        <w:ind w:firstLine="640" w:firstLineChars="200"/>
        <w:rPr>
          <w:rFonts w:ascii="黑体" w:hAnsi="宋体" w:eastAsia="黑体"/>
          <w:sz w:val="32"/>
          <w:szCs w:val="32"/>
        </w:rPr>
      </w:pPr>
    </w:p>
    <w:p>
      <w:pPr>
        <w:spacing w:after="0" w:line="576" w:lineRule="exact"/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一、202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宋体" w:eastAsia="黑体"/>
          <w:sz w:val="32"/>
          <w:szCs w:val="32"/>
        </w:rPr>
        <w:t>年度部门预算收支预算情况说明</w:t>
      </w:r>
    </w:p>
    <w:p>
      <w:pPr>
        <w:pStyle w:val="2"/>
        <w:adjustRightInd w:val="0"/>
        <w:snapToGrid w:val="0"/>
        <w:spacing w:line="576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根据贡觉县县财政局《关于下达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2024</w:t>
      </w:r>
      <w:r>
        <w:rPr>
          <w:rFonts w:hint="eastAsia" w:ascii="仿宋_GB2312" w:hAnsi="仿宋" w:eastAsia="仿宋_GB2312" w:cs="Times New Roman"/>
          <w:sz w:val="32"/>
          <w:szCs w:val="32"/>
        </w:rPr>
        <w:t>年部门预算经费指标的批复》（贡财预指〔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2024</w:t>
      </w:r>
      <w:r>
        <w:rPr>
          <w:rFonts w:hint="eastAsia" w:ascii="仿宋_GB2312" w:hAnsi="仿宋" w:eastAsia="仿宋_GB2312" w:cs="Times New Roman"/>
          <w:sz w:val="32"/>
          <w:szCs w:val="32"/>
        </w:rPr>
        <w:t>〕1号）文件，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2024</w:t>
      </w:r>
      <w:r>
        <w:rPr>
          <w:rFonts w:hint="eastAsia" w:ascii="仿宋_GB2312" w:hAnsi="仿宋" w:eastAsia="仿宋_GB2312" w:cs="Times New Roman"/>
          <w:sz w:val="32"/>
          <w:szCs w:val="32"/>
        </w:rPr>
        <w:t>年部门预算年度收入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580.94</w:t>
      </w:r>
      <w:r>
        <w:rPr>
          <w:rFonts w:hint="eastAsia" w:ascii="仿宋_GB2312" w:hAnsi="仿宋" w:eastAsia="仿宋_GB2312" w:cs="Times New Roman"/>
          <w:sz w:val="32"/>
          <w:szCs w:val="32"/>
        </w:rPr>
        <w:t>万元，其中一般公共预算拨款收入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580.94</w:t>
      </w:r>
      <w:r>
        <w:rPr>
          <w:rFonts w:hint="eastAsia" w:ascii="仿宋_GB2312" w:hAnsi="仿宋" w:eastAsia="仿宋_GB2312" w:cs="Times New Roman"/>
          <w:sz w:val="32"/>
          <w:szCs w:val="32"/>
        </w:rPr>
        <w:t>万元；部门预算</w:t>
      </w:r>
      <w:bookmarkStart w:id="0" w:name="_GoBack"/>
      <w:bookmarkEnd w:id="0"/>
      <w:r>
        <w:rPr>
          <w:rFonts w:hint="eastAsia" w:ascii="仿宋_GB2312" w:hAnsi="仿宋" w:eastAsia="仿宋_GB2312" w:cs="Times New Roman"/>
          <w:sz w:val="32"/>
          <w:szCs w:val="32"/>
        </w:rPr>
        <w:t>年度支出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580.94</w:t>
      </w:r>
      <w:r>
        <w:rPr>
          <w:rFonts w:hint="eastAsia" w:ascii="仿宋_GB2312" w:hAnsi="仿宋" w:eastAsia="仿宋_GB2312" w:cs="Times New Roman"/>
          <w:sz w:val="32"/>
          <w:szCs w:val="32"/>
        </w:rPr>
        <w:t>万元，其中：一般公共服务支出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431.93</w:t>
      </w:r>
      <w:r>
        <w:rPr>
          <w:rFonts w:hint="eastAsia" w:ascii="仿宋_GB2312" w:hAnsi="仿宋" w:eastAsia="仿宋_GB2312" w:cs="Times New Roman"/>
          <w:sz w:val="32"/>
          <w:szCs w:val="32"/>
        </w:rPr>
        <w:t>万元，社会保障和就业支出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44.14</w:t>
      </w:r>
      <w:r>
        <w:rPr>
          <w:rFonts w:hint="eastAsia" w:ascii="仿宋_GB2312" w:hAnsi="仿宋" w:eastAsia="仿宋_GB2312" w:cs="Times New Roman"/>
          <w:sz w:val="32"/>
          <w:szCs w:val="32"/>
        </w:rPr>
        <w:t>万元，卫生健康支出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24.92</w:t>
      </w:r>
      <w:r>
        <w:rPr>
          <w:rFonts w:hint="eastAsia" w:ascii="仿宋_GB2312" w:hAnsi="仿宋" w:eastAsia="仿宋_GB2312" w:cs="Times New Roman"/>
          <w:sz w:val="32"/>
          <w:szCs w:val="32"/>
        </w:rPr>
        <w:t>万元，文化旅游体育与传媒支出46.85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万元，</w:t>
      </w:r>
      <w:r>
        <w:rPr>
          <w:rFonts w:hint="eastAsia" w:ascii="仿宋_GB2312" w:hAnsi="仿宋" w:eastAsia="仿宋_GB2312" w:cs="Times New Roman"/>
          <w:sz w:val="32"/>
          <w:szCs w:val="32"/>
        </w:rPr>
        <w:t>住房保障支出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33.1</w:t>
      </w:r>
      <w:r>
        <w:rPr>
          <w:rFonts w:hint="eastAsia" w:ascii="仿宋_GB2312" w:hAnsi="仿宋" w:eastAsia="仿宋_GB2312" w:cs="Times New Roman"/>
          <w:sz w:val="32"/>
          <w:szCs w:val="32"/>
        </w:rPr>
        <w:t>万元。</w:t>
      </w:r>
    </w:p>
    <w:p>
      <w:pPr>
        <w:pStyle w:val="2"/>
        <w:adjustRightInd w:val="0"/>
        <w:snapToGrid w:val="0"/>
        <w:spacing w:line="576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预算收支平衡。</w:t>
      </w:r>
    </w:p>
    <w:p>
      <w:pPr>
        <w:spacing w:line="220" w:lineRule="atLeast"/>
      </w:pPr>
    </w:p>
    <w:p>
      <w:pPr>
        <w:spacing w:after="0" w:line="576" w:lineRule="exact"/>
        <w:ind w:firstLine="640" w:firstLineChars="200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>（一）</w:t>
      </w:r>
      <w:r>
        <w:rPr>
          <w:rFonts w:hint="eastAsia" w:ascii="楷体" w:hAnsi="楷体" w:eastAsia="楷体" w:cs="仿宋_GB2312"/>
          <w:sz w:val="32"/>
          <w:szCs w:val="32"/>
          <w:lang w:eastAsia="zh-CN"/>
        </w:rPr>
        <w:t>2024</w:t>
      </w:r>
      <w:r>
        <w:rPr>
          <w:rFonts w:hint="eastAsia" w:ascii="楷体" w:hAnsi="楷体" w:eastAsia="楷体" w:cs="仿宋_GB2312"/>
          <w:sz w:val="32"/>
          <w:szCs w:val="32"/>
        </w:rPr>
        <w:t>年度部门预算收入预算情况</w:t>
      </w:r>
    </w:p>
    <w:p>
      <w:pPr>
        <w:spacing w:after="0" w:line="576" w:lineRule="exact"/>
        <w:ind w:firstLine="640" w:firstLineChars="200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年部门预算年度收入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580.94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万元，比上年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62.86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万元，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9.2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%。其中：一般公共预算资金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580.94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万元，占总收入的100%。</w:t>
      </w:r>
    </w:p>
    <w:p>
      <w:pPr>
        <w:spacing w:after="0" w:line="576" w:lineRule="exact"/>
        <w:ind w:firstLine="640" w:firstLineChars="200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>（二）</w:t>
      </w:r>
      <w:r>
        <w:rPr>
          <w:rFonts w:hint="eastAsia" w:ascii="楷体" w:hAnsi="楷体" w:eastAsia="楷体" w:cs="仿宋_GB2312"/>
          <w:sz w:val="32"/>
          <w:szCs w:val="32"/>
          <w:lang w:eastAsia="zh-CN"/>
        </w:rPr>
        <w:t>2024</w:t>
      </w:r>
      <w:r>
        <w:rPr>
          <w:rFonts w:hint="eastAsia" w:ascii="楷体" w:hAnsi="楷体" w:eastAsia="楷体" w:cs="仿宋_GB2312"/>
          <w:sz w:val="32"/>
          <w:szCs w:val="32"/>
        </w:rPr>
        <w:t>年度部门预算支出预算情况</w:t>
      </w:r>
    </w:p>
    <w:p>
      <w:pPr>
        <w:pStyle w:val="2"/>
        <w:adjustRightInd w:val="0"/>
        <w:snapToGrid w:val="0"/>
        <w:spacing w:line="576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2024</w:t>
      </w:r>
      <w:r>
        <w:rPr>
          <w:rFonts w:hint="eastAsia" w:ascii="仿宋_GB2312" w:hAnsi="仿宋" w:eastAsia="仿宋_GB2312" w:cs="Times New Roman"/>
          <w:sz w:val="32"/>
          <w:szCs w:val="32"/>
        </w:rPr>
        <w:t>年部门预算年度支出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580.94</w:t>
      </w:r>
      <w:r>
        <w:rPr>
          <w:rFonts w:hint="eastAsia" w:ascii="仿宋_GB2312" w:hAnsi="仿宋" w:eastAsia="仿宋_GB2312" w:cs="Times New Roman"/>
          <w:sz w:val="32"/>
          <w:szCs w:val="32"/>
        </w:rPr>
        <w:t>万元，比上年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62.86</w:t>
      </w:r>
      <w:r>
        <w:rPr>
          <w:rFonts w:hint="eastAsia" w:ascii="仿宋_GB2312" w:hAnsi="仿宋" w:eastAsia="仿宋_GB2312" w:cs="Times New Roman"/>
          <w:sz w:val="32"/>
          <w:szCs w:val="32"/>
        </w:rPr>
        <w:t>万元，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9.2</w:t>
      </w:r>
      <w:r>
        <w:rPr>
          <w:rFonts w:hint="eastAsia" w:ascii="仿宋_GB2312" w:hAnsi="仿宋" w:eastAsia="仿宋_GB2312" w:cs="Times New Roman"/>
          <w:sz w:val="32"/>
          <w:szCs w:val="32"/>
        </w:rPr>
        <w:t>%。其中：基本支出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431.09</w:t>
      </w:r>
      <w:r>
        <w:rPr>
          <w:rFonts w:hint="eastAsia" w:ascii="仿宋_GB2312" w:hAnsi="仿宋" w:eastAsia="仿宋_GB2312" w:cs="Times New Roman"/>
          <w:sz w:val="32"/>
          <w:szCs w:val="32"/>
        </w:rPr>
        <w:t>万元，占总支出的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60.7</w:t>
      </w:r>
      <w:r>
        <w:rPr>
          <w:rFonts w:hint="eastAsia" w:ascii="仿宋_GB2312" w:hAnsi="仿宋" w:eastAsia="仿宋_GB2312" w:cs="Times New Roman"/>
          <w:sz w:val="32"/>
          <w:szCs w:val="32"/>
        </w:rPr>
        <w:t>%，项目支出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149.85</w:t>
      </w:r>
      <w:r>
        <w:rPr>
          <w:rFonts w:hint="eastAsia" w:ascii="仿宋_GB2312" w:hAnsi="仿宋" w:eastAsia="仿宋_GB2312" w:cs="Times New Roman"/>
          <w:sz w:val="32"/>
          <w:szCs w:val="32"/>
        </w:rPr>
        <w:t>万元，占总支出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39.3</w:t>
      </w:r>
      <w:r>
        <w:rPr>
          <w:rFonts w:hint="eastAsia" w:ascii="仿宋_GB2312" w:hAnsi="仿宋" w:eastAsia="仿宋_GB2312" w:cs="Times New Roman"/>
          <w:sz w:val="32"/>
          <w:szCs w:val="32"/>
        </w:rPr>
        <w:t>%。</w:t>
      </w:r>
    </w:p>
    <w:p>
      <w:pPr>
        <w:spacing w:line="220" w:lineRule="atLeast"/>
      </w:pPr>
    </w:p>
    <w:p>
      <w:pPr>
        <w:spacing w:after="0" w:line="576" w:lineRule="exact"/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</w:t>
      </w:r>
      <w:r>
        <w:rPr>
          <w:rFonts w:hint="eastAsia" w:ascii="黑体" w:hAnsi="宋体" w:eastAsia="黑体"/>
          <w:sz w:val="32"/>
          <w:szCs w:val="32"/>
          <w:lang w:eastAsia="zh-CN"/>
        </w:rPr>
        <w:t>2024</w:t>
      </w:r>
      <w:r>
        <w:rPr>
          <w:rFonts w:hint="eastAsia" w:ascii="黑体" w:hAnsi="宋体" w:eastAsia="黑体"/>
          <w:sz w:val="32"/>
          <w:szCs w:val="32"/>
        </w:rPr>
        <w:t>年度财政拨款收支预算情况说明</w:t>
      </w:r>
    </w:p>
    <w:p>
      <w:pPr>
        <w:pStyle w:val="2"/>
        <w:adjustRightInd w:val="0"/>
        <w:snapToGrid w:val="0"/>
        <w:spacing w:line="576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2024</w:t>
      </w:r>
      <w:r>
        <w:rPr>
          <w:rFonts w:hint="eastAsia" w:ascii="仿宋_GB2312" w:hAnsi="仿宋" w:eastAsia="仿宋_GB2312" w:cs="Times New Roman"/>
          <w:sz w:val="32"/>
          <w:szCs w:val="32"/>
        </w:rPr>
        <w:t>年度财政拨款收入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580.94</w:t>
      </w:r>
      <w:r>
        <w:rPr>
          <w:rFonts w:hint="eastAsia" w:ascii="仿宋_GB2312" w:hAnsi="仿宋" w:eastAsia="仿宋_GB2312" w:cs="Times New Roman"/>
          <w:sz w:val="32"/>
          <w:szCs w:val="32"/>
        </w:rPr>
        <w:t>万元；财政拨款支出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580.94</w:t>
      </w:r>
      <w:r>
        <w:rPr>
          <w:rFonts w:hint="eastAsia" w:ascii="仿宋_GB2312" w:hAnsi="仿宋" w:eastAsia="仿宋_GB2312" w:cs="Times New Roman"/>
          <w:sz w:val="32"/>
          <w:szCs w:val="32"/>
        </w:rPr>
        <w:t>万元。</w:t>
      </w:r>
    </w:p>
    <w:p>
      <w:pPr>
        <w:spacing w:after="0" w:line="576" w:lineRule="exact"/>
        <w:ind w:firstLine="640" w:firstLineChars="200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>（一）</w:t>
      </w:r>
      <w:r>
        <w:rPr>
          <w:rFonts w:hint="eastAsia" w:ascii="楷体" w:hAnsi="楷体" w:eastAsia="楷体" w:cs="仿宋_GB2312"/>
          <w:sz w:val="32"/>
          <w:szCs w:val="32"/>
          <w:lang w:eastAsia="zh-CN"/>
        </w:rPr>
        <w:t>2024</w:t>
      </w:r>
      <w:r>
        <w:rPr>
          <w:rFonts w:hint="eastAsia" w:ascii="楷体" w:hAnsi="楷体" w:eastAsia="楷体" w:cs="仿宋_GB2312"/>
          <w:sz w:val="32"/>
          <w:szCs w:val="32"/>
        </w:rPr>
        <w:t>年度财政拨款收入情况</w:t>
      </w:r>
    </w:p>
    <w:p>
      <w:pPr>
        <w:pStyle w:val="2"/>
        <w:adjustRightInd w:val="0"/>
        <w:snapToGrid w:val="0"/>
        <w:spacing w:line="576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2024</w:t>
      </w:r>
      <w:r>
        <w:rPr>
          <w:rFonts w:hint="eastAsia" w:ascii="仿宋_GB2312" w:hAnsi="仿宋" w:eastAsia="仿宋_GB2312" w:cs="Times New Roman"/>
          <w:sz w:val="32"/>
          <w:szCs w:val="32"/>
        </w:rPr>
        <w:t>年度财政拨款收入预算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580.94</w:t>
      </w:r>
      <w:r>
        <w:rPr>
          <w:rFonts w:hint="eastAsia" w:ascii="仿宋_GB2312" w:hAnsi="仿宋" w:eastAsia="仿宋_GB2312" w:cs="Times New Roman"/>
          <w:sz w:val="32"/>
          <w:szCs w:val="32"/>
        </w:rPr>
        <w:t>万元，比上年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62.86</w:t>
      </w:r>
      <w:r>
        <w:rPr>
          <w:rFonts w:hint="eastAsia" w:ascii="仿宋_GB2312" w:hAnsi="仿宋" w:eastAsia="仿宋_GB2312" w:cs="Times New Roman"/>
          <w:sz w:val="32"/>
          <w:szCs w:val="32"/>
        </w:rPr>
        <w:t>万元，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9.2</w:t>
      </w:r>
      <w:r>
        <w:rPr>
          <w:rFonts w:hint="eastAsia" w:ascii="仿宋_GB2312" w:hAnsi="仿宋" w:eastAsia="仿宋_GB2312" w:cs="Times New Roman"/>
          <w:sz w:val="32"/>
          <w:szCs w:val="32"/>
        </w:rPr>
        <w:t>%，其中：一般公共预算资金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580.94</w:t>
      </w:r>
      <w:r>
        <w:rPr>
          <w:rFonts w:hint="eastAsia" w:ascii="仿宋_GB2312" w:hAnsi="仿宋" w:eastAsia="仿宋_GB2312" w:cs="Times New Roman"/>
          <w:sz w:val="32"/>
          <w:szCs w:val="32"/>
        </w:rPr>
        <w:t>万元，占总收入的100%。</w:t>
      </w:r>
    </w:p>
    <w:p>
      <w:pPr>
        <w:spacing w:after="0" w:line="576" w:lineRule="exact"/>
        <w:ind w:firstLine="640" w:firstLineChars="200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>（二）</w:t>
      </w:r>
      <w:r>
        <w:rPr>
          <w:rFonts w:hint="eastAsia" w:ascii="楷体" w:hAnsi="楷体" w:eastAsia="楷体" w:cs="仿宋_GB2312"/>
          <w:sz w:val="32"/>
          <w:szCs w:val="32"/>
          <w:lang w:eastAsia="zh-CN"/>
        </w:rPr>
        <w:t>2024</w:t>
      </w:r>
      <w:r>
        <w:rPr>
          <w:rFonts w:hint="eastAsia" w:ascii="楷体" w:hAnsi="楷体" w:eastAsia="楷体" w:cs="仿宋_GB2312"/>
          <w:sz w:val="32"/>
          <w:szCs w:val="32"/>
        </w:rPr>
        <w:t>年度财政拨款支出情况</w:t>
      </w:r>
    </w:p>
    <w:p>
      <w:pPr>
        <w:pStyle w:val="2"/>
        <w:adjustRightInd w:val="0"/>
        <w:snapToGrid w:val="0"/>
        <w:spacing w:line="576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2024</w:t>
      </w:r>
      <w:r>
        <w:rPr>
          <w:rFonts w:hint="eastAsia" w:ascii="仿宋_GB2312" w:hAnsi="仿宋" w:eastAsia="仿宋_GB2312" w:cs="Times New Roman"/>
          <w:sz w:val="32"/>
          <w:szCs w:val="32"/>
        </w:rPr>
        <w:t>年度财政拨款支出预算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580.94</w:t>
      </w:r>
      <w:r>
        <w:rPr>
          <w:rFonts w:hint="eastAsia" w:ascii="仿宋_GB2312" w:hAnsi="仿宋" w:eastAsia="仿宋_GB2312" w:cs="Times New Roman"/>
          <w:sz w:val="32"/>
          <w:szCs w:val="32"/>
        </w:rPr>
        <w:t>万元，比上年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62.86</w:t>
      </w:r>
      <w:r>
        <w:rPr>
          <w:rFonts w:hint="eastAsia" w:ascii="仿宋_GB2312" w:hAnsi="仿宋" w:eastAsia="仿宋_GB2312" w:cs="Times New Roman"/>
          <w:sz w:val="32"/>
          <w:szCs w:val="32"/>
        </w:rPr>
        <w:t>万元，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9.2</w:t>
      </w:r>
      <w:r>
        <w:rPr>
          <w:rFonts w:hint="eastAsia" w:ascii="仿宋_GB2312" w:hAnsi="仿宋" w:eastAsia="仿宋_GB2312" w:cs="Times New Roman"/>
          <w:sz w:val="32"/>
          <w:szCs w:val="32"/>
        </w:rPr>
        <w:t>%，其中：一般公共服务支出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431.93</w:t>
      </w:r>
      <w:r>
        <w:rPr>
          <w:rFonts w:hint="eastAsia" w:ascii="仿宋_GB2312" w:hAnsi="仿宋" w:eastAsia="仿宋_GB2312" w:cs="Times New Roman"/>
          <w:sz w:val="32"/>
          <w:szCs w:val="32"/>
        </w:rPr>
        <w:t>万元，社会保障和就业支出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44.14</w:t>
      </w:r>
      <w:r>
        <w:rPr>
          <w:rFonts w:hint="eastAsia" w:ascii="仿宋_GB2312" w:hAnsi="仿宋" w:eastAsia="仿宋_GB2312" w:cs="Times New Roman"/>
          <w:sz w:val="32"/>
          <w:szCs w:val="32"/>
        </w:rPr>
        <w:t>万元，卫生健康支出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24.92</w:t>
      </w:r>
      <w:r>
        <w:rPr>
          <w:rFonts w:hint="eastAsia" w:ascii="仿宋_GB2312" w:hAnsi="仿宋" w:eastAsia="仿宋_GB2312" w:cs="Times New Roman"/>
          <w:sz w:val="32"/>
          <w:szCs w:val="32"/>
        </w:rPr>
        <w:t>万元，文化旅游体育与传媒支出46.85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万元，</w:t>
      </w:r>
      <w:r>
        <w:rPr>
          <w:rFonts w:hint="eastAsia" w:ascii="仿宋_GB2312" w:hAnsi="仿宋" w:eastAsia="仿宋_GB2312" w:cs="Times New Roman"/>
          <w:sz w:val="32"/>
          <w:szCs w:val="32"/>
        </w:rPr>
        <w:t>住房保障支出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33.1</w:t>
      </w:r>
      <w:r>
        <w:rPr>
          <w:rFonts w:hint="eastAsia" w:ascii="仿宋_GB2312" w:hAnsi="仿宋" w:eastAsia="仿宋_GB2312" w:cs="Times New Roman"/>
          <w:sz w:val="32"/>
          <w:szCs w:val="32"/>
        </w:rPr>
        <w:t>万元。</w:t>
      </w:r>
    </w:p>
    <w:p>
      <w:pPr>
        <w:spacing w:after="0" w:line="576" w:lineRule="exact"/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color w:val="auto"/>
          <w:sz w:val="32"/>
          <w:szCs w:val="32"/>
        </w:rPr>
        <w:t>三、</w:t>
      </w:r>
      <w:r>
        <w:rPr>
          <w:rFonts w:hint="eastAsia" w:ascii="黑体" w:hAnsi="宋体" w:eastAsia="黑体"/>
          <w:sz w:val="32"/>
          <w:szCs w:val="32"/>
          <w:lang w:eastAsia="zh-CN"/>
        </w:rPr>
        <w:t>2024</w:t>
      </w:r>
      <w:r>
        <w:rPr>
          <w:rFonts w:hint="eastAsia" w:ascii="黑体" w:hAnsi="宋体" w:eastAsia="黑体"/>
          <w:sz w:val="32"/>
          <w:szCs w:val="32"/>
        </w:rPr>
        <w:t>年度一般公共预算收支情况说明</w:t>
      </w:r>
    </w:p>
    <w:p>
      <w:pPr>
        <w:pStyle w:val="2"/>
        <w:adjustRightInd w:val="0"/>
        <w:snapToGrid w:val="0"/>
        <w:spacing w:line="576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2024</w:t>
      </w:r>
      <w:r>
        <w:rPr>
          <w:rFonts w:hint="eastAsia" w:ascii="仿宋_GB2312" w:hAnsi="仿宋" w:eastAsia="仿宋_GB2312" w:cs="Times New Roman"/>
          <w:sz w:val="32"/>
          <w:szCs w:val="32"/>
        </w:rPr>
        <w:t>年度一般公共预算收入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580.94</w:t>
      </w:r>
      <w:r>
        <w:rPr>
          <w:rFonts w:hint="eastAsia" w:ascii="仿宋_GB2312" w:hAnsi="仿宋" w:eastAsia="仿宋_GB2312" w:cs="Times New Roman"/>
          <w:sz w:val="32"/>
          <w:szCs w:val="32"/>
        </w:rPr>
        <w:t>万元；一般公共预算支出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580.94</w:t>
      </w:r>
      <w:r>
        <w:rPr>
          <w:rFonts w:hint="eastAsia" w:ascii="仿宋_GB2312" w:hAnsi="仿宋" w:eastAsia="仿宋_GB2312" w:cs="Times New Roman"/>
          <w:sz w:val="32"/>
          <w:szCs w:val="32"/>
        </w:rPr>
        <w:t>万元。</w:t>
      </w:r>
    </w:p>
    <w:p>
      <w:pPr>
        <w:spacing w:after="0" w:line="576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</w:t>
      </w:r>
      <w:r>
        <w:rPr>
          <w:rFonts w:hint="eastAsia" w:ascii="楷体" w:hAnsi="楷体" w:eastAsia="楷体" w:cs="仿宋_GB2312"/>
          <w:sz w:val="32"/>
          <w:szCs w:val="32"/>
          <w:lang w:eastAsia="zh-CN"/>
        </w:rPr>
        <w:t>2024</w:t>
      </w:r>
      <w:r>
        <w:rPr>
          <w:rFonts w:hint="eastAsia" w:ascii="楷体" w:hAnsi="楷体" w:eastAsia="楷体" w:cs="仿宋_GB2312"/>
          <w:sz w:val="32"/>
          <w:szCs w:val="32"/>
        </w:rPr>
        <w:t>年度</w:t>
      </w:r>
      <w:r>
        <w:rPr>
          <w:rFonts w:hint="eastAsia" w:ascii="楷体" w:hAnsi="楷体" w:eastAsia="楷体" w:cs="楷体"/>
          <w:sz w:val="32"/>
          <w:szCs w:val="32"/>
        </w:rPr>
        <w:t>一般公共预算收入情况</w:t>
      </w:r>
    </w:p>
    <w:p>
      <w:pPr>
        <w:pStyle w:val="2"/>
        <w:adjustRightInd w:val="0"/>
        <w:snapToGrid w:val="0"/>
        <w:spacing w:line="576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2024</w:t>
      </w:r>
      <w:r>
        <w:rPr>
          <w:rFonts w:hint="eastAsia" w:ascii="仿宋_GB2312" w:hAnsi="仿宋" w:eastAsia="仿宋_GB2312" w:cs="Times New Roman"/>
          <w:sz w:val="32"/>
          <w:szCs w:val="32"/>
        </w:rPr>
        <w:t>年度一般公共预算收入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580.94</w:t>
      </w:r>
      <w:r>
        <w:rPr>
          <w:rFonts w:hint="eastAsia" w:ascii="仿宋_GB2312" w:hAnsi="仿宋" w:eastAsia="仿宋_GB2312" w:cs="Times New Roman"/>
          <w:sz w:val="32"/>
          <w:szCs w:val="32"/>
        </w:rPr>
        <w:t>万元，比上年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62.86</w:t>
      </w:r>
      <w:r>
        <w:rPr>
          <w:rFonts w:hint="eastAsia" w:ascii="仿宋_GB2312" w:hAnsi="仿宋" w:eastAsia="仿宋_GB2312" w:cs="Times New Roman"/>
          <w:sz w:val="32"/>
          <w:szCs w:val="32"/>
        </w:rPr>
        <w:t>万元，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9.2</w:t>
      </w:r>
      <w:r>
        <w:rPr>
          <w:rFonts w:hint="eastAsia" w:ascii="仿宋_GB2312" w:hAnsi="仿宋" w:eastAsia="仿宋_GB2312" w:cs="Times New Roman"/>
          <w:sz w:val="32"/>
          <w:szCs w:val="32"/>
        </w:rPr>
        <w:t>%。</w:t>
      </w:r>
    </w:p>
    <w:p>
      <w:pPr>
        <w:spacing w:after="0" w:line="576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2024</w:t>
      </w:r>
      <w:r>
        <w:rPr>
          <w:rFonts w:hint="eastAsia" w:ascii="楷体" w:hAnsi="楷体" w:eastAsia="楷体" w:cs="楷体"/>
          <w:sz w:val="32"/>
          <w:szCs w:val="32"/>
        </w:rPr>
        <w:t>年度一般公共预算支出情况</w:t>
      </w:r>
    </w:p>
    <w:p>
      <w:pPr>
        <w:pStyle w:val="2"/>
        <w:adjustRightInd w:val="0"/>
        <w:snapToGrid w:val="0"/>
        <w:spacing w:line="576" w:lineRule="exact"/>
        <w:ind w:firstLine="640" w:firstLineChars="200"/>
        <w:rPr>
          <w:color w:val="000000" w:themeColor="text1"/>
          <w:highlight w:val="yellow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2024年度一般公共预算支出580.94万元，比上年减少62.86万元，减少9.2%。其中：一般公共服务支出431.93万元（行政运行328.93万元、其他宣传事务支出103万元）；其他文化旅游体育与传媒支出46.85万元（ 其他文化旅游体育与传媒支出13.25万元、 宣传文化发展专项支出33.6万元）社会保障和就业支出44.14万元（机关事业单位基本养老缴费支出44.14万元）；卫生健康支出24.92万元（公务员医疗补助3.68万元、行政单位医疗21.24万元）；支出住房保障支出33.1元（住房公积金33.1万元）。</w:t>
      </w:r>
    </w:p>
    <w:p>
      <w:pPr>
        <w:spacing w:after="0" w:line="576" w:lineRule="exact"/>
        <w:ind w:firstLine="640" w:firstLineChars="200"/>
        <w:rPr>
          <w:rFonts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（三）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2024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年度一般公共预算基本支出情况</w:t>
      </w:r>
    </w:p>
    <w:p>
      <w:pPr>
        <w:pStyle w:val="2"/>
        <w:adjustRightInd w:val="0"/>
        <w:snapToGrid w:val="0"/>
        <w:spacing w:line="576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2024</w:t>
      </w:r>
      <w:r>
        <w:rPr>
          <w:rFonts w:hint="eastAsia" w:ascii="仿宋_GB2312" w:hAnsi="仿宋" w:eastAsia="仿宋_GB2312" w:cs="Times New Roman"/>
          <w:sz w:val="32"/>
          <w:szCs w:val="32"/>
        </w:rPr>
        <w:t>年度一般公共预算基本支出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431.09</w:t>
      </w:r>
      <w:r>
        <w:rPr>
          <w:rFonts w:hint="eastAsia" w:ascii="仿宋_GB2312" w:hAnsi="仿宋" w:eastAsia="仿宋_GB2312" w:cs="Times New Roman"/>
          <w:sz w:val="32"/>
          <w:szCs w:val="32"/>
        </w:rPr>
        <w:t>万元。其中：工资福利支出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402.63</w:t>
      </w:r>
      <w:r>
        <w:rPr>
          <w:rFonts w:hint="eastAsia" w:ascii="仿宋_GB2312" w:hAnsi="仿宋" w:eastAsia="仿宋_GB2312" w:cs="Times New Roman"/>
          <w:sz w:val="32"/>
          <w:szCs w:val="32"/>
        </w:rPr>
        <w:t>万元、商品和服务支出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22.6</w:t>
      </w:r>
      <w:r>
        <w:rPr>
          <w:rFonts w:hint="eastAsia" w:ascii="仿宋_GB2312" w:hAnsi="仿宋" w:eastAsia="仿宋_GB2312" w:cs="Times New Roman"/>
          <w:sz w:val="32"/>
          <w:szCs w:val="32"/>
        </w:rPr>
        <w:t>万元、对个人和家庭的补助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5.86</w:t>
      </w:r>
      <w:r>
        <w:rPr>
          <w:rFonts w:hint="eastAsia" w:ascii="仿宋_GB2312" w:hAnsi="仿宋" w:eastAsia="仿宋_GB2312" w:cs="Times New Roman"/>
          <w:sz w:val="32"/>
          <w:szCs w:val="32"/>
        </w:rPr>
        <w:t>万元。</w:t>
      </w:r>
    </w:p>
    <w:p>
      <w:pPr>
        <w:widowControl w:val="0"/>
        <w:numPr>
          <w:ilvl w:val="0"/>
          <w:numId w:val="2"/>
        </w:numPr>
        <w:adjustRightInd/>
        <w:snapToGrid/>
        <w:spacing w:after="0" w:line="576" w:lineRule="exact"/>
        <w:ind w:left="20" w:leftChars="0" w:firstLine="640" w:firstLineChars="0"/>
        <w:jc w:val="both"/>
      </w:pPr>
      <w:r>
        <w:rPr>
          <w:rFonts w:hint="eastAsia" w:ascii="仿宋" w:hAnsi="仿宋" w:eastAsia="仿宋" w:cs="仿宋_GB2312"/>
          <w:sz w:val="32"/>
          <w:szCs w:val="32"/>
        </w:rPr>
        <w:t>工资福利支出中：基本工资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56.7</w:t>
      </w:r>
      <w:r>
        <w:rPr>
          <w:rFonts w:hint="eastAsia" w:ascii="仿宋" w:hAnsi="仿宋" w:eastAsia="仿宋" w:cs="仿宋_GB2312"/>
          <w:sz w:val="32"/>
          <w:szCs w:val="32"/>
        </w:rPr>
        <w:t>万元；津贴补贴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200.19</w:t>
      </w:r>
      <w:r>
        <w:rPr>
          <w:rFonts w:hint="eastAsia" w:ascii="仿宋" w:hAnsi="仿宋" w:eastAsia="仿宋" w:cs="仿宋_GB2312"/>
          <w:sz w:val="32"/>
          <w:szCs w:val="32"/>
        </w:rPr>
        <w:t>万元；奖金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20.96</w:t>
      </w:r>
      <w:r>
        <w:rPr>
          <w:rFonts w:hint="eastAsia" w:ascii="仿宋" w:hAnsi="仿宋" w:eastAsia="仿宋" w:cs="仿宋_GB2312"/>
          <w:sz w:val="32"/>
          <w:szCs w:val="32"/>
        </w:rPr>
        <w:t>万元；机关事业单位基本养老保险缴费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44.14</w:t>
      </w:r>
      <w:r>
        <w:rPr>
          <w:rFonts w:hint="eastAsia" w:ascii="仿宋" w:hAnsi="仿宋" w:eastAsia="仿宋" w:cs="仿宋_GB2312"/>
          <w:sz w:val="32"/>
          <w:szCs w:val="32"/>
        </w:rPr>
        <w:t>万元；职工基本医疗保险缴费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21.24</w:t>
      </w:r>
      <w:r>
        <w:rPr>
          <w:rFonts w:hint="eastAsia" w:ascii="仿宋" w:hAnsi="仿宋" w:eastAsia="仿宋" w:cs="仿宋_GB2312"/>
          <w:sz w:val="32"/>
          <w:szCs w:val="32"/>
        </w:rPr>
        <w:t>万元；公务员医疗补助缴费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3.68</w:t>
      </w:r>
      <w:r>
        <w:rPr>
          <w:rFonts w:hint="eastAsia" w:ascii="仿宋" w:hAnsi="仿宋" w:eastAsia="仿宋" w:cs="仿宋_GB2312"/>
          <w:sz w:val="32"/>
          <w:szCs w:val="32"/>
        </w:rPr>
        <w:t>万元；其他社会保障缴费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4.55</w:t>
      </w:r>
      <w:r>
        <w:rPr>
          <w:rFonts w:hint="eastAsia" w:ascii="仿宋" w:hAnsi="仿宋" w:eastAsia="仿宋" w:cs="仿宋_GB2312"/>
          <w:sz w:val="32"/>
          <w:szCs w:val="32"/>
        </w:rPr>
        <w:t>万元；住房公积金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33.1</w:t>
      </w:r>
      <w:r>
        <w:rPr>
          <w:rFonts w:hint="eastAsia" w:ascii="仿宋" w:hAnsi="仿宋" w:eastAsia="仿宋" w:cs="仿宋_GB2312"/>
          <w:sz w:val="32"/>
          <w:szCs w:val="32"/>
        </w:rPr>
        <w:t>万元；医疗费2.7万元；其他工资福利支出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15.37</w:t>
      </w:r>
      <w:r>
        <w:rPr>
          <w:rFonts w:hint="eastAsia" w:ascii="仿宋" w:hAnsi="仿宋" w:eastAsia="仿宋" w:cs="仿宋_GB2312"/>
          <w:sz w:val="32"/>
          <w:szCs w:val="32"/>
        </w:rPr>
        <w:t>万元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2"/>
        </w:numPr>
        <w:adjustRightInd/>
        <w:snapToGrid/>
        <w:spacing w:after="0" w:line="576" w:lineRule="exact"/>
        <w:ind w:left="20" w:leftChars="0" w:firstLine="640" w:firstLineChars="0"/>
        <w:jc w:val="both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</w:rPr>
        <w:t>商品和服务支出中：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办公费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万元；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印刷费5.18</w:t>
      </w:r>
      <w:r>
        <w:rPr>
          <w:rFonts w:hint="eastAsia" w:ascii="仿宋" w:hAnsi="仿宋" w:eastAsia="仿宋" w:cs="仿宋_GB2312"/>
          <w:sz w:val="32"/>
          <w:szCs w:val="32"/>
        </w:rPr>
        <w:t>万元；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邮电费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万元；差旅费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4.5</w:t>
      </w:r>
      <w:r>
        <w:rPr>
          <w:rFonts w:hint="eastAsia" w:ascii="仿宋" w:hAnsi="仿宋" w:eastAsia="仿宋" w:cs="仿宋_GB2312"/>
          <w:sz w:val="32"/>
          <w:szCs w:val="32"/>
        </w:rPr>
        <w:t>万元；工会经费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5.25</w:t>
      </w:r>
      <w:r>
        <w:rPr>
          <w:rFonts w:hint="eastAsia" w:ascii="仿宋" w:hAnsi="仿宋" w:eastAsia="仿宋" w:cs="仿宋_GB2312"/>
          <w:sz w:val="32"/>
          <w:szCs w:val="32"/>
        </w:rPr>
        <w:t>万元；公务用车运行维护费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1.33</w:t>
      </w:r>
      <w:r>
        <w:rPr>
          <w:rFonts w:hint="eastAsia" w:ascii="仿宋" w:hAnsi="仿宋" w:eastAsia="仿宋" w:cs="仿宋_GB2312"/>
          <w:sz w:val="32"/>
          <w:szCs w:val="32"/>
        </w:rPr>
        <w:t>万元；其他商品和服务支出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2.34</w:t>
      </w:r>
      <w:r>
        <w:rPr>
          <w:rFonts w:hint="eastAsia" w:ascii="仿宋" w:hAnsi="仿宋" w:eastAsia="仿宋" w:cs="仿宋_GB2312"/>
          <w:sz w:val="32"/>
          <w:szCs w:val="32"/>
        </w:rPr>
        <w:t>万元。</w:t>
      </w:r>
    </w:p>
    <w:p>
      <w:pPr>
        <w:spacing w:line="220" w:lineRule="atLeast"/>
      </w:pPr>
    </w:p>
    <w:p>
      <w:pPr>
        <w:widowControl w:val="0"/>
        <w:numPr>
          <w:ilvl w:val="0"/>
          <w:numId w:val="2"/>
        </w:numPr>
        <w:adjustRightInd/>
        <w:snapToGrid/>
        <w:spacing w:after="0" w:line="576" w:lineRule="exact"/>
        <w:ind w:left="20" w:leftChars="0" w:firstLine="640" w:firstLineChars="0"/>
        <w:jc w:val="both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对个人和家庭的补助中：其他对个人和家庭的补助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5.86</w:t>
      </w:r>
      <w:r>
        <w:rPr>
          <w:rFonts w:hint="eastAsia" w:ascii="仿宋" w:hAnsi="仿宋" w:eastAsia="仿宋" w:cs="仿宋_GB2312"/>
          <w:sz w:val="32"/>
          <w:szCs w:val="32"/>
        </w:rPr>
        <w:t>万元。</w:t>
      </w:r>
    </w:p>
    <w:p>
      <w:pPr>
        <w:spacing w:after="0" w:line="576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四、其他支出（无）</w:t>
      </w:r>
    </w:p>
    <w:p>
      <w:pPr>
        <w:spacing w:after="0" w:line="576" w:lineRule="exact"/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五、</w:t>
      </w:r>
      <w:r>
        <w:rPr>
          <w:rFonts w:hint="eastAsia" w:ascii="黑体" w:hAnsi="宋体" w:eastAsia="黑体"/>
          <w:sz w:val="32"/>
          <w:szCs w:val="32"/>
          <w:lang w:eastAsia="zh-CN"/>
        </w:rPr>
        <w:t>2024</w:t>
      </w:r>
      <w:r>
        <w:rPr>
          <w:rFonts w:hint="eastAsia" w:ascii="黑体" w:hAnsi="宋体" w:eastAsia="黑体"/>
          <w:sz w:val="32"/>
          <w:szCs w:val="32"/>
        </w:rPr>
        <w:t>年“三公”经费预算情况说明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5"/>
        <w:gridCol w:w="1681"/>
        <w:gridCol w:w="1649"/>
        <w:gridCol w:w="17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exact"/>
          <w:jc w:val="center"/>
        </w:trPr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年预算数（万元）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2024</w:t>
            </w:r>
            <w:r>
              <w:rPr>
                <w:rFonts w:hint="eastAsia" w:ascii="仿宋" w:hAnsi="仿宋" w:eastAsia="仿宋" w:cs="仿宋"/>
                <w:sz w:val="24"/>
              </w:rPr>
              <w:t>年预算数（万元）</w:t>
            </w: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比上年增减额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（万元）</w:t>
            </w:r>
          </w:p>
          <w:p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合计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1.33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1.因公出国（境）费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2.公务接待费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3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3.公务用车经费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1.33</w:t>
            </w: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其中：（1）公务用车运行维护费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1.33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（2）公务用车购置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pStyle w:val="2"/>
        <w:adjustRightInd w:val="0"/>
        <w:snapToGrid w:val="0"/>
        <w:spacing w:line="576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2024</w:t>
      </w:r>
      <w:r>
        <w:rPr>
          <w:rFonts w:hint="eastAsia" w:ascii="仿宋_GB2312" w:hAnsi="仿宋" w:eastAsia="仿宋_GB2312" w:cs="Times New Roman"/>
          <w:sz w:val="32"/>
          <w:szCs w:val="32"/>
        </w:rPr>
        <w:t>年“三公经费”财政预算拨款数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1.33</w:t>
      </w:r>
      <w:r>
        <w:rPr>
          <w:rFonts w:hint="eastAsia" w:ascii="仿宋_GB2312" w:hAnsi="仿宋" w:eastAsia="仿宋_GB2312" w:cs="Times New Roman"/>
          <w:sz w:val="32"/>
          <w:szCs w:val="32"/>
        </w:rPr>
        <w:t>万元，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比上减少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1.67万元</w:t>
      </w:r>
      <w:r>
        <w:rPr>
          <w:rFonts w:hint="eastAsia" w:ascii="仿宋_GB2312" w:hAnsi="仿宋" w:eastAsia="仿宋_GB2312" w:cs="Times New Roman"/>
          <w:sz w:val="32"/>
          <w:szCs w:val="32"/>
        </w:rPr>
        <w:t>；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减少67%。</w:t>
      </w:r>
      <w:r>
        <w:rPr>
          <w:rFonts w:hint="eastAsia" w:ascii="仿宋_GB2312" w:hAnsi="仿宋" w:eastAsia="仿宋_GB2312" w:cs="Times New Roman"/>
          <w:sz w:val="32"/>
          <w:szCs w:val="32"/>
        </w:rPr>
        <w:t>其中公务接待0万元；公车运行维护费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1.33</w:t>
      </w:r>
      <w:r>
        <w:rPr>
          <w:rFonts w:hint="eastAsia" w:ascii="仿宋_GB2312" w:hAnsi="仿宋" w:eastAsia="仿宋_GB2312" w:cs="Times New Roman"/>
          <w:sz w:val="32"/>
          <w:szCs w:val="32"/>
        </w:rPr>
        <w:t>万元，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比上年减少减少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1.67万元</w:t>
      </w:r>
      <w:r>
        <w:rPr>
          <w:rFonts w:hint="eastAsia" w:ascii="仿宋_GB2312" w:hAnsi="仿宋" w:eastAsia="仿宋_GB2312" w:cs="Times New Roman"/>
          <w:sz w:val="32"/>
          <w:szCs w:val="32"/>
        </w:rPr>
        <w:t>；因公出国（境）费预算为0万元。具体情况如下：</w:t>
      </w:r>
    </w:p>
    <w:p>
      <w:pPr>
        <w:pStyle w:val="2"/>
        <w:adjustRightInd w:val="0"/>
        <w:snapToGrid w:val="0"/>
        <w:spacing w:line="576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1.因公出国（境）费预算0万元。</w:t>
      </w:r>
    </w:p>
    <w:p>
      <w:pPr>
        <w:pStyle w:val="2"/>
        <w:adjustRightInd w:val="0"/>
        <w:snapToGrid w:val="0"/>
        <w:spacing w:line="576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2.公务接待费预算0万元。</w:t>
      </w:r>
    </w:p>
    <w:p>
      <w:pPr>
        <w:pStyle w:val="2"/>
        <w:adjustRightInd w:val="0"/>
        <w:snapToGrid w:val="0"/>
        <w:spacing w:line="576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3.公务用车经费预算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1.33</w:t>
      </w:r>
      <w:r>
        <w:rPr>
          <w:rFonts w:hint="eastAsia" w:ascii="仿宋_GB2312" w:hAnsi="仿宋" w:eastAsia="仿宋_GB2312" w:cs="Times New Roman"/>
          <w:sz w:val="32"/>
          <w:szCs w:val="32"/>
        </w:rPr>
        <w:t>万元，其中公务用车运行维护费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1.33</w:t>
      </w:r>
      <w:r>
        <w:rPr>
          <w:rFonts w:hint="eastAsia" w:ascii="仿宋_GB2312" w:hAnsi="仿宋" w:eastAsia="仿宋_GB2312" w:cs="Times New Roman"/>
          <w:sz w:val="32"/>
          <w:szCs w:val="32"/>
        </w:rPr>
        <w:t>万元。</w:t>
      </w:r>
    </w:p>
    <w:p>
      <w:pPr>
        <w:spacing w:after="0" w:line="576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六、其他情况</w:t>
      </w:r>
    </w:p>
    <w:p>
      <w:pPr>
        <w:spacing w:after="0" w:line="576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（一）国有资产占用情况</w:t>
      </w:r>
    </w:p>
    <w:p>
      <w:pPr>
        <w:pStyle w:val="2"/>
        <w:adjustRightInd w:val="0"/>
        <w:snapToGrid w:val="0"/>
        <w:spacing w:line="576" w:lineRule="exact"/>
        <w:ind w:firstLine="640" w:firstLineChars="200"/>
        <w:rPr>
          <w:rFonts w:hint="default" w:ascii="仿宋_GB2312" w:hAnsi="仿宋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highlight w:val="none"/>
        </w:rPr>
        <w:t>截止202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</w:rPr>
        <w:t>年12月31日，县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eastAsia="zh-CN"/>
        </w:rPr>
        <w:t>委宣传部固定资产原值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  <w:t>51.98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</w:rPr>
        <w:t>万元，固定资产净值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  <w:t>32.27万元，固定资产折旧19.7万元。</w:t>
      </w:r>
    </w:p>
    <w:p>
      <w:pPr>
        <w:widowControl w:val="0"/>
        <w:numPr>
          <w:ilvl w:val="0"/>
          <w:numId w:val="3"/>
        </w:numPr>
        <w:adjustRightInd/>
        <w:snapToGrid/>
        <w:spacing w:after="0" w:line="576" w:lineRule="exact"/>
        <w:ind w:firstLine="640" w:firstLineChars="200"/>
        <w:jc w:val="both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政府采购安排情况</w:t>
      </w:r>
    </w:p>
    <w:p>
      <w:pPr>
        <w:widowControl w:val="0"/>
        <w:numPr>
          <w:ilvl w:val="0"/>
          <w:numId w:val="0"/>
        </w:numPr>
        <w:adjustRightInd/>
        <w:snapToGrid/>
        <w:spacing w:after="0" w:line="576" w:lineRule="exact"/>
        <w:ind w:firstLine="960" w:firstLineChars="300"/>
        <w:jc w:val="both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无</w:t>
      </w:r>
    </w:p>
    <w:p>
      <w:pPr>
        <w:spacing w:after="0" w:line="576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（三）机关运行经费安排情况</w:t>
      </w:r>
    </w:p>
    <w:p>
      <w:pPr>
        <w:widowControl w:val="0"/>
        <w:numPr>
          <w:ilvl w:val="0"/>
          <w:numId w:val="2"/>
        </w:numPr>
        <w:adjustRightInd/>
        <w:snapToGrid/>
        <w:spacing w:after="0" w:line="576" w:lineRule="exact"/>
        <w:ind w:left="20" w:leftChars="0" w:firstLine="640" w:firstLineChars="0"/>
        <w:jc w:val="both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2024</w:t>
      </w:r>
      <w:r>
        <w:rPr>
          <w:rFonts w:hint="eastAsia" w:ascii="仿宋_GB2312" w:hAnsi="仿宋" w:eastAsia="仿宋_GB2312" w:cs="Times New Roman"/>
          <w:sz w:val="32"/>
          <w:szCs w:val="32"/>
        </w:rPr>
        <w:t>年预算机关运行经费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22.6</w:t>
      </w:r>
      <w:r>
        <w:rPr>
          <w:rFonts w:hint="eastAsia" w:ascii="仿宋_GB2312" w:hAnsi="仿宋" w:eastAsia="仿宋_GB2312" w:cs="Times New Roman"/>
          <w:sz w:val="32"/>
          <w:szCs w:val="32"/>
        </w:rPr>
        <w:t xml:space="preserve">万元，其中: 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办公费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Times New Roman"/>
          <w:sz w:val="32"/>
          <w:szCs w:val="32"/>
        </w:rPr>
        <w:t>万元；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印刷费5.18</w:t>
      </w:r>
      <w:r>
        <w:rPr>
          <w:rFonts w:hint="eastAsia" w:ascii="仿宋_GB2312" w:hAnsi="仿宋" w:eastAsia="仿宋_GB2312" w:cs="Times New Roman"/>
          <w:sz w:val="32"/>
          <w:szCs w:val="32"/>
        </w:rPr>
        <w:t>万元；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邮电费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Times New Roman"/>
          <w:sz w:val="32"/>
          <w:szCs w:val="32"/>
        </w:rPr>
        <w:t>万元；差旅费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4.5</w:t>
      </w:r>
      <w:r>
        <w:rPr>
          <w:rFonts w:hint="eastAsia" w:ascii="仿宋_GB2312" w:hAnsi="仿宋" w:eastAsia="仿宋_GB2312" w:cs="Times New Roman"/>
          <w:sz w:val="32"/>
          <w:szCs w:val="32"/>
        </w:rPr>
        <w:t>万元；工会经费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5.25</w:t>
      </w:r>
      <w:r>
        <w:rPr>
          <w:rFonts w:hint="eastAsia" w:ascii="仿宋_GB2312" w:hAnsi="仿宋" w:eastAsia="仿宋_GB2312" w:cs="Times New Roman"/>
          <w:sz w:val="32"/>
          <w:szCs w:val="32"/>
        </w:rPr>
        <w:t>万元；公务用车运行维护费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1.33</w:t>
      </w:r>
      <w:r>
        <w:rPr>
          <w:rFonts w:hint="eastAsia" w:ascii="仿宋_GB2312" w:hAnsi="仿宋" w:eastAsia="仿宋_GB2312" w:cs="Times New Roman"/>
          <w:sz w:val="32"/>
          <w:szCs w:val="32"/>
        </w:rPr>
        <w:t>万元；其他商品和服务支出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2.34</w:t>
      </w:r>
      <w:r>
        <w:rPr>
          <w:rFonts w:hint="eastAsia" w:ascii="仿宋_GB2312" w:hAnsi="仿宋" w:eastAsia="仿宋_GB2312" w:cs="Times New Roman"/>
          <w:sz w:val="32"/>
          <w:szCs w:val="32"/>
        </w:rPr>
        <w:t>万元。在预算执行中将严格按照经费支出相关规定管理和使用资金，厉行节约，反对浪费，确保机关工作正常有序运行。</w:t>
      </w:r>
    </w:p>
    <w:p>
      <w:pPr>
        <w:spacing w:after="0" w:line="576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（四）政府债务情况（无）</w:t>
      </w:r>
    </w:p>
    <w:p>
      <w:pPr>
        <w:spacing w:after="0" w:line="576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（五）重点项目预算的绩效目标等预算绩效情况</w:t>
      </w:r>
    </w:p>
    <w:p>
      <w:pPr>
        <w:pStyle w:val="2"/>
        <w:adjustRightInd w:val="0"/>
        <w:snapToGrid w:val="0"/>
        <w:spacing w:line="576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昌都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市贡觉县宣传部2024</w:t>
      </w:r>
      <w:r>
        <w:rPr>
          <w:rFonts w:hint="eastAsia" w:ascii="仿宋_GB2312" w:hAnsi="仿宋" w:eastAsia="仿宋_GB2312" w:cs="Times New Roman"/>
          <w:sz w:val="32"/>
          <w:szCs w:val="32"/>
        </w:rPr>
        <w:t>年申报项目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Times New Roman"/>
          <w:sz w:val="32"/>
          <w:szCs w:val="32"/>
        </w:rPr>
        <w:t>项，纳入一般公共预算项目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Times New Roman"/>
          <w:sz w:val="32"/>
          <w:szCs w:val="32"/>
        </w:rPr>
        <w:t>项，共计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149.85</w:t>
      </w:r>
      <w:r>
        <w:rPr>
          <w:rFonts w:hint="eastAsia" w:ascii="仿宋_GB2312" w:hAnsi="仿宋" w:eastAsia="仿宋_GB2312" w:cs="Times New Roman"/>
          <w:sz w:val="32"/>
          <w:szCs w:val="32"/>
        </w:rPr>
        <w:t>万元，占年度收入的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39.3</w:t>
      </w:r>
      <w:r>
        <w:rPr>
          <w:rFonts w:hint="eastAsia" w:ascii="仿宋_GB2312" w:hAnsi="仿宋" w:eastAsia="仿宋_GB2312" w:cs="Times New Roman"/>
          <w:sz w:val="32"/>
          <w:szCs w:val="32"/>
        </w:rPr>
        <w:t>%%。预算绩效事前评价优。</w:t>
      </w:r>
    </w:p>
    <w:p>
      <w:pPr>
        <w:spacing w:after="0" w:line="576" w:lineRule="exact"/>
        <w:jc w:val="center"/>
        <w:rPr>
          <w:rFonts w:ascii="黑体" w:hAnsi="宋体" w:eastAsia="黑体"/>
          <w:sz w:val="48"/>
          <w:szCs w:val="48"/>
        </w:rPr>
      </w:pPr>
    </w:p>
    <w:p>
      <w:pPr>
        <w:spacing w:after="0" w:line="576" w:lineRule="exact"/>
        <w:jc w:val="center"/>
        <w:rPr>
          <w:rFonts w:ascii="黑体" w:hAnsi="宋体" w:eastAsia="黑体"/>
          <w:sz w:val="48"/>
          <w:szCs w:val="48"/>
        </w:rPr>
      </w:pPr>
    </w:p>
    <w:p>
      <w:pPr>
        <w:spacing w:after="0" w:line="576" w:lineRule="exact"/>
        <w:jc w:val="center"/>
        <w:rPr>
          <w:rFonts w:ascii="黑体" w:hAnsi="宋体" w:eastAsia="黑体"/>
          <w:sz w:val="48"/>
          <w:szCs w:val="48"/>
        </w:rPr>
      </w:pPr>
    </w:p>
    <w:p>
      <w:pPr>
        <w:spacing w:after="0" w:line="576" w:lineRule="exact"/>
        <w:jc w:val="center"/>
        <w:rPr>
          <w:rFonts w:ascii="黑体" w:hAnsi="宋体" w:eastAsia="黑体"/>
          <w:sz w:val="48"/>
          <w:szCs w:val="48"/>
        </w:rPr>
      </w:pPr>
    </w:p>
    <w:p>
      <w:pPr>
        <w:spacing w:after="0" w:line="576" w:lineRule="exact"/>
        <w:jc w:val="center"/>
        <w:rPr>
          <w:rFonts w:ascii="黑体" w:hAnsi="宋体" w:eastAsia="黑体"/>
          <w:sz w:val="48"/>
          <w:szCs w:val="48"/>
        </w:rPr>
      </w:pPr>
    </w:p>
    <w:p>
      <w:pPr>
        <w:spacing w:after="0" w:line="576" w:lineRule="exact"/>
        <w:jc w:val="center"/>
        <w:rPr>
          <w:rFonts w:ascii="黑体" w:hAnsi="宋体" w:eastAsia="黑体"/>
          <w:sz w:val="48"/>
          <w:szCs w:val="48"/>
        </w:rPr>
      </w:pPr>
    </w:p>
    <w:p>
      <w:pPr>
        <w:spacing w:after="0" w:line="576" w:lineRule="exact"/>
        <w:jc w:val="center"/>
        <w:rPr>
          <w:rFonts w:ascii="黑体" w:hAnsi="宋体" w:eastAsia="黑体"/>
          <w:sz w:val="48"/>
          <w:szCs w:val="48"/>
        </w:rPr>
      </w:pPr>
    </w:p>
    <w:p>
      <w:pPr>
        <w:spacing w:after="0" w:line="576" w:lineRule="exact"/>
        <w:jc w:val="center"/>
        <w:rPr>
          <w:rFonts w:ascii="黑体" w:hAnsi="宋体" w:eastAsia="黑体"/>
          <w:sz w:val="48"/>
          <w:szCs w:val="48"/>
        </w:rPr>
      </w:pPr>
    </w:p>
    <w:p>
      <w:pPr>
        <w:spacing w:after="0" w:line="576" w:lineRule="exact"/>
        <w:jc w:val="center"/>
        <w:rPr>
          <w:rFonts w:ascii="黑体" w:hAnsi="宋体" w:eastAsia="黑体"/>
          <w:sz w:val="48"/>
          <w:szCs w:val="48"/>
        </w:rPr>
      </w:pPr>
    </w:p>
    <w:p>
      <w:pPr>
        <w:spacing w:after="0" w:line="576" w:lineRule="exact"/>
        <w:jc w:val="center"/>
        <w:rPr>
          <w:rFonts w:ascii="黑体" w:hAnsi="宋体" w:eastAsia="黑体"/>
          <w:sz w:val="48"/>
          <w:szCs w:val="48"/>
        </w:rPr>
      </w:pPr>
    </w:p>
    <w:p>
      <w:pPr>
        <w:spacing w:after="0" w:line="576" w:lineRule="exact"/>
        <w:rPr>
          <w:rFonts w:ascii="黑体" w:hAnsi="宋体" w:eastAsia="黑体"/>
          <w:sz w:val="48"/>
          <w:szCs w:val="48"/>
        </w:rPr>
      </w:pPr>
    </w:p>
    <w:p>
      <w:pPr>
        <w:spacing w:after="0" w:line="576" w:lineRule="exact"/>
        <w:rPr>
          <w:rFonts w:ascii="黑体" w:hAnsi="宋体" w:eastAsia="黑体"/>
          <w:sz w:val="48"/>
          <w:szCs w:val="48"/>
        </w:rPr>
      </w:pPr>
    </w:p>
    <w:p>
      <w:pPr>
        <w:spacing w:after="0" w:line="576" w:lineRule="exact"/>
        <w:rPr>
          <w:rFonts w:ascii="黑体" w:hAnsi="宋体" w:eastAsia="黑体"/>
          <w:sz w:val="48"/>
          <w:szCs w:val="48"/>
        </w:rPr>
      </w:pPr>
    </w:p>
    <w:p>
      <w:pPr>
        <w:spacing w:after="0" w:line="576" w:lineRule="exact"/>
        <w:rPr>
          <w:rFonts w:ascii="黑体" w:hAnsi="宋体" w:eastAsia="黑体"/>
          <w:sz w:val="48"/>
          <w:szCs w:val="48"/>
        </w:rPr>
      </w:pPr>
    </w:p>
    <w:p>
      <w:pPr>
        <w:spacing w:after="0" w:line="576" w:lineRule="exact"/>
        <w:jc w:val="center"/>
        <w:rPr>
          <w:rFonts w:ascii="黑体" w:hAnsi="宋体" w:eastAsia="黑体"/>
          <w:sz w:val="48"/>
          <w:szCs w:val="48"/>
        </w:rPr>
      </w:pPr>
      <w:r>
        <w:rPr>
          <w:rFonts w:hint="eastAsia" w:ascii="黑体" w:hAnsi="宋体" w:eastAsia="黑体"/>
          <w:sz w:val="48"/>
          <w:szCs w:val="48"/>
        </w:rPr>
        <w:t>第四部分</w:t>
      </w:r>
    </w:p>
    <w:p>
      <w:pPr>
        <w:spacing w:after="0" w:line="576" w:lineRule="exact"/>
        <w:jc w:val="center"/>
        <w:rPr>
          <w:rFonts w:ascii="黑体" w:hAnsi="宋体" w:eastAsia="黑体"/>
          <w:sz w:val="48"/>
          <w:szCs w:val="48"/>
        </w:rPr>
      </w:pPr>
    </w:p>
    <w:p>
      <w:pPr>
        <w:spacing w:after="0" w:line="576" w:lineRule="exact"/>
        <w:jc w:val="center"/>
        <w:rPr>
          <w:rFonts w:ascii="黑体" w:hAnsi="宋体" w:eastAsia="黑体"/>
          <w:sz w:val="48"/>
          <w:szCs w:val="48"/>
        </w:rPr>
      </w:pPr>
      <w:r>
        <w:rPr>
          <w:rFonts w:hint="eastAsia" w:ascii="黑体" w:hAnsi="宋体" w:eastAsia="黑体"/>
          <w:sz w:val="48"/>
          <w:szCs w:val="48"/>
        </w:rPr>
        <w:t>名词解释</w:t>
      </w:r>
    </w:p>
    <w:p>
      <w:pPr>
        <w:spacing w:after="0" w:line="576" w:lineRule="exact"/>
        <w:jc w:val="center"/>
        <w:rPr>
          <w:rFonts w:ascii="黑体" w:hAnsi="宋体" w:eastAsia="黑体"/>
          <w:sz w:val="48"/>
          <w:szCs w:val="48"/>
        </w:rPr>
      </w:pPr>
    </w:p>
    <w:p>
      <w:pPr>
        <w:pStyle w:val="2"/>
        <w:adjustRightInd w:val="0"/>
        <w:snapToGrid w:val="0"/>
        <w:spacing w:line="576" w:lineRule="exact"/>
        <w:ind w:firstLine="643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bCs/>
          <w:sz w:val="32"/>
          <w:szCs w:val="32"/>
        </w:rPr>
        <w:t>1.工资福利支出：</w:t>
      </w:r>
      <w:r>
        <w:rPr>
          <w:rFonts w:hint="eastAsia" w:ascii="仿宋_GB2312" w:hAnsi="仿宋" w:eastAsia="仿宋_GB2312" w:cs="Times New Roman"/>
          <w:sz w:val="32"/>
          <w:szCs w:val="32"/>
        </w:rPr>
        <w:t>反映单位开支的在职职工和编制外长期聘用人员的各类劳动报酬，以及为上述人员缴纳的各项社会保险费等。</w:t>
      </w:r>
    </w:p>
    <w:p>
      <w:pPr>
        <w:pStyle w:val="2"/>
        <w:adjustRightInd w:val="0"/>
        <w:snapToGrid w:val="0"/>
        <w:spacing w:line="576" w:lineRule="exact"/>
        <w:ind w:firstLine="643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bCs/>
          <w:sz w:val="32"/>
          <w:szCs w:val="32"/>
        </w:rPr>
        <w:t>2.商品和服务支出：</w:t>
      </w:r>
      <w:r>
        <w:rPr>
          <w:rFonts w:hint="eastAsia" w:ascii="仿宋_GB2312" w:hAnsi="仿宋" w:eastAsia="仿宋_GB2312" w:cs="Times New Roman"/>
          <w:sz w:val="32"/>
          <w:szCs w:val="32"/>
        </w:rPr>
        <w:t>反映单位购买商品和服务的支出，不包括用于购置固定资产、战略性和应急性物资储备等资本性支出。</w:t>
      </w:r>
    </w:p>
    <w:p>
      <w:pPr>
        <w:pStyle w:val="2"/>
        <w:adjustRightInd w:val="0"/>
        <w:snapToGrid w:val="0"/>
        <w:spacing w:line="576" w:lineRule="exact"/>
        <w:ind w:firstLine="643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bCs/>
          <w:sz w:val="32"/>
          <w:szCs w:val="32"/>
        </w:rPr>
        <w:t>3.对个人的家庭的补助</w:t>
      </w:r>
      <w:r>
        <w:rPr>
          <w:rFonts w:hint="eastAsia" w:ascii="仿宋_GB2312" w:hAnsi="仿宋" w:eastAsia="仿宋_GB2312" w:cs="Times New Roman"/>
          <w:sz w:val="32"/>
          <w:szCs w:val="32"/>
        </w:rPr>
        <w:t>：反映政府用于对个人和家庭的补助支出。</w:t>
      </w:r>
    </w:p>
    <w:p>
      <w:pPr>
        <w:spacing w:after="0" w:line="220" w:lineRule="atLeast"/>
      </w:pPr>
    </w:p>
    <w:p>
      <w:pPr>
        <w:spacing w:after="0" w:line="220" w:lineRule="atLeast"/>
      </w:pPr>
    </w:p>
    <w:sectPr>
      <w:pgSz w:w="11906" w:h="16838"/>
      <w:pgMar w:top="1440" w:right="1803" w:bottom="1440" w:left="180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61903"/>
    <w:multiLevelType w:val="singleLevel"/>
    <w:tmpl w:val="63C61903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3C62AD7"/>
    <w:multiLevelType w:val="singleLevel"/>
    <w:tmpl w:val="63C62AD7"/>
    <w:lvl w:ilvl="0" w:tentative="0">
      <w:start w:val="2"/>
      <w:numFmt w:val="chineseCounting"/>
      <w:suff w:val="nothing"/>
      <w:lvlText w:val="（%1）"/>
      <w:lvlJc w:val="left"/>
    </w:lvl>
  </w:abstractNum>
  <w:abstractNum w:abstractNumId="2">
    <w:nsid w:val="63C6524D"/>
    <w:multiLevelType w:val="singleLevel"/>
    <w:tmpl w:val="63C6524D"/>
    <w:lvl w:ilvl="0" w:tentative="0">
      <w:start w:val="1"/>
      <w:numFmt w:val="decimal"/>
      <w:suff w:val="nothing"/>
      <w:lvlText w:val="%1."/>
      <w:lvlJc w:val="left"/>
      <w:pPr>
        <w:ind w:left="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NTk1OTViMzc3NWUxZWI2ZDlhNTRmZDcxZWY3NGNlMGYifQ=="/>
  </w:docVars>
  <w:rsids>
    <w:rsidRoot w:val="00D31D50"/>
    <w:rsid w:val="00023697"/>
    <w:rsid w:val="00090674"/>
    <w:rsid w:val="00093EB8"/>
    <w:rsid w:val="0010361D"/>
    <w:rsid w:val="001B2A4F"/>
    <w:rsid w:val="001C52DD"/>
    <w:rsid w:val="002531BF"/>
    <w:rsid w:val="00262979"/>
    <w:rsid w:val="002A0551"/>
    <w:rsid w:val="002B2419"/>
    <w:rsid w:val="003047BD"/>
    <w:rsid w:val="0031438B"/>
    <w:rsid w:val="00323B43"/>
    <w:rsid w:val="003D37D8"/>
    <w:rsid w:val="00426133"/>
    <w:rsid w:val="00426CD0"/>
    <w:rsid w:val="004358AB"/>
    <w:rsid w:val="004670FB"/>
    <w:rsid w:val="004D72E0"/>
    <w:rsid w:val="004E5D65"/>
    <w:rsid w:val="00594124"/>
    <w:rsid w:val="005A4741"/>
    <w:rsid w:val="00681A1B"/>
    <w:rsid w:val="006C65B5"/>
    <w:rsid w:val="00700DF3"/>
    <w:rsid w:val="0071797B"/>
    <w:rsid w:val="00735798"/>
    <w:rsid w:val="00775007"/>
    <w:rsid w:val="008A3E80"/>
    <w:rsid w:val="008A741B"/>
    <w:rsid w:val="008B7726"/>
    <w:rsid w:val="008D4DF7"/>
    <w:rsid w:val="0091519E"/>
    <w:rsid w:val="00922C50"/>
    <w:rsid w:val="00990FF0"/>
    <w:rsid w:val="009E3AC6"/>
    <w:rsid w:val="00A16EA1"/>
    <w:rsid w:val="00A540A7"/>
    <w:rsid w:val="00A94343"/>
    <w:rsid w:val="00AE7104"/>
    <w:rsid w:val="00B30AAF"/>
    <w:rsid w:val="00B3422F"/>
    <w:rsid w:val="00BE05C4"/>
    <w:rsid w:val="00C36F13"/>
    <w:rsid w:val="00C61047"/>
    <w:rsid w:val="00CC5D0B"/>
    <w:rsid w:val="00D31D50"/>
    <w:rsid w:val="00E54CE9"/>
    <w:rsid w:val="00EE3032"/>
    <w:rsid w:val="00F07613"/>
    <w:rsid w:val="06D75CC5"/>
    <w:rsid w:val="0BC27821"/>
    <w:rsid w:val="0E030F83"/>
    <w:rsid w:val="1023738F"/>
    <w:rsid w:val="1A457ED4"/>
    <w:rsid w:val="1A47270D"/>
    <w:rsid w:val="1DDE4D15"/>
    <w:rsid w:val="1F77153E"/>
    <w:rsid w:val="201D55C8"/>
    <w:rsid w:val="2BDA11E4"/>
    <w:rsid w:val="2FBE6D65"/>
    <w:rsid w:val="3382239D"/>
    <w:rsid w:val="36803A06"/>
    <w:rsid w:val="3C775282"/>
    <w:rsid w:val="3E0E139C"/>
    <w:rsid w:val="40A05A30"/>
    <w:rsid w:val="43672A66"/>
    <w:rsid w:val="464A089F"/>
    <w:rsid w:val="49710D9D"/>
    <w:rsid w:val="4DFF78A6"/>
    <w:rsid w:val="511409DF"/>
    <w:rsid w:val="56967997"/>
    <w:rsid w:val="569B1F79"/>
    <w:rsid w:val="589F1785"/>
    <w:rsid w:val="59D547EE"/>
    <w:rsid w:val="6159510F"/>
    <w:rsid w:val="68137479"/>
    <w:rsid w:val="6D46792A"/>
    <w:rsid w:val="7057129C"/>
    <w:rsid w:val="70B16BFE"/>
    <w:rsid w:val="71110A66"/>
    <w:rsid w:val="78FF726A"/>
    <w:rsid w:val="7ABC72E7"/>
    <w:rsid w:val="7FF5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3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纯文本 Char"/>
    <w:basedOn w:val="7"/>
    <w:link w:val="2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5697</Words>
  <Characters>6194</Characters>
  <Lines>58</Lines>
  <Paragraphs>16</Paragraphs>
  <TotalTime>5</TotalTime>
  <ScaleCrop>false</ScaleCrop>
  <LinksUpToDate>false</LinksUpToDate>
  <CharactersWithSpaces>6321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张润华</dc:creator>
  <cp:lastModifiedBy>CN=类乌齐县办公室/OU=昌都市类乌齐县财政/OU=昌都市财政局/OU=西藏自治区财政厅/O=TIBET</cp:lastModifiedBy>
  <cp:lastPrinted>2024-04-19T09:53:23Z</cp:lastPrinted>
  <dcterms:modified xsi:type="dcterms:W3CDTF">2024-04-19T09:53:45Z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A81E51DE26A24113854CD8E2B25032C1</vt:lpwstr>
  </property>
</Properties>
</file>