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9" w:line="360" w:lineRule="auto"/>
        <w:jc w:val="both"/>
        <w:rPr>
          <w:rFonts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pacing w:val="-14"/>
          <w:sz w:val="32"/>
          <w:szCs w:val="32"/>
        </w:rPr>
        <w:t>附件2</w:t>
      </w:r>
    </w:p>
    <w:p>
      <w:pPr>
        <w:spacing w:before="130" w:line="360" w:lineRule="auto"/>
        <w:ind w:firstLine="0" w:firstLineChars="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22"/>
          <w:sz w:val="32"/>
          <w:szCs w:val="32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昌都市各区县环境管控单元汇总表</w:t>
      </w:r>
    </w:p>
    <w:tbl>
      <w:tblPr>
        <w:tblStyle w:val="5"/>
        <w:tblW w:w="83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708"/>
        <w:gridCol w:w="1560"/>
        <w:gridCol w:w="708"/>
        <w:gridCol w:w="1560"/>
        <w:gridCol w:w="708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0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45"/>
              <w:ind w:firstLine="255"/>
              <w:contextualSpacing/>
              <w:jc w:val="right"/>
              <w:rPr>
                <w:rFonts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865505" cy="679450"/>
                      <wp:effectExtent l="3175" t="3810" r="7620" b="215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501" cy="6796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0.5pt;height:53.5pt;width:68.15pt;z-index:251660288;mso-width-relative:page;mso-height-relative:page;" filled="f" stroked="t" coordsize="21600,21600" o:gfxdata="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RsHe5tQAAAAH&#10;AQAADwAAAAAAAAABACAAAAA4AAAAZHJzL2Rvd25yZXYueG1sUEsBAhQAFAAAAAgAh07iQE4gFrbR&#10;AQAAZwMAAA4AAAAAAAAAAQAgAAAAOQEAAGRycy9lMm9Eb2MueG1sUEsFBgAAAAAGAAYAWQEAAHwF&#10;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  <w:t>管控单元</w:t>
            </w:r>
          </w:p>
          <w:p>
            <w:pPr>
              <w:spacing w:before="145"/>
              <w:ind w:right="726"/>
              <w:contextualSpacing/>
              <w:jc w:val="right"/>
              <w:rPr>
                <w:rFonts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</w:pPr>
          </w:p>
          <w:p>
            <w:pPr>
              <w:spacing w:before="88"/>
              <w:contextualSpacing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z w:val="24"/>
                <w:szCs w:val="24"/>
              </w:rPr>
              <w:t>区县</w:t>
            </w:r>
          </w:p>
        </w:tc>
        <w:tc>
          <w:tcPr>
            <w:tcW w:w="226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5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  <w:t>优先保护单元</w:t>
            </w:r>
          </w:p>
        </w:tc>
        <w:tc>
          <w:tcPr>
            <w:tcW w:w="226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5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  <w:t>重点管控单元</w:t>
            </w:r>
          </w:p>
        </w:tc>
        <w:tc>
          <w:tcPr>
            <w:tcW w:w="24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5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1"/>
                <w:sz w:val="24"/>
                <w:szCs w:val="24"/>
              </w:rPr>
              <w:t>一般管控单元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40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/>
              <w:ind w:left="96" w:hanging="96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  <w:t>个数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/>
              <w:ind w:left="96" w:firstLine="68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11"/>
                <w:sz w:val="24"/>
                <w:szCs w:val="24"/>
              </w:rPr>
              <w:t>面积占</w:t>
            </w:r>
            <w:r>
              <w:rPr>
                <w:rFonts w:hint="eastAsia"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  <w:t>比</w:t>
            </w:r>
          </w:p>
          <w:p>
            <w:pPr>
              <w:spacing w:before="104"/>
              <w:ind w:left="96" w:firstLine="68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  <w:t>（%）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/>
              <w:ind w:left="96" w:hanging="96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  <w:t>个数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3"/>
              <w:ind w:left="567" w:right="148" w:hanging="397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4"/>
                <w:sz w:val="24"/>
                <w:szCs w:val="24"/>
              </w:rPr>
              <w:t>面积占比</w:t>
            </w:r>
            <w:r>
              <w:rPr>
                <w:rFonts w:hint="eastAsia" w:ascii="仿宋_GB2312" w:eastAsia="仿宋_GB2312" w:cs="宋体" w:hAnsiTheme="minorEastAsia"/>
                <w:b w:val="0"/>
                <w:bCs/>
                <w:spacing w:val="-13"/>
                <w:sz w:val="24"/>
                <w:szCs w:val="24"/>
              </w:rPr>
              <w:t>(%)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/>
              <w:ind w:left="96" w:hanging="96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5"/>
                <w:sz w:val="24"/>
                <w:szCs w:val="24"/>
              </w:rPr>
              <w:t>个数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6"/>
              <w:ind w:left="78" w:firstLine="66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12"/>
                <w:sz w:val="24"/>
                <w:szCs w:val="24"/>
              </w:rPr>
              <w:t>面积占</w:t>
            </w:r>
            <w:r>
              <w:rPr>
                <w:rFonts w:hint="eastAsia"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  <w:t>比</w:t>
            </w:r>
          </w:p>
          <w:p>
            <w:pPr>
              <w:spacing w:before="106"/>
              <w:ind w:left="78" w:firstLine="66"/>
              <w:contextualSpacing/>
              <w:jc w:val="center"/>
              <w:rPr>
                <w:rFonts w:ascii="仿宋_GB2312" w:eastAsia="仿宋_GB2312" w:cs="宋体" w:hAnsi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pacing w:val="-1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卡若区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84.29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1.92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13.79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江达县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43.78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1.61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贡觉县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94.97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0.75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类乌齐县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88.30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0.64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11.07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丁青县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86.53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0.31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13.16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察雅县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95.25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0.56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4.19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八宿县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42.22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0.73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57.05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左贡县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40.20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0.66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59.14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芒康县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92.28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0.73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洛隆县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84.98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0.26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14.76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边坝县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92.47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0.27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7.26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全市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73.43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0.81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snapToGrid/>
                <w:color w:val="auto"/>
                <w:sz w:val="24"/>
                <w:szCs w:val="24"/>
              </w:rPr>
              <w:t>25.76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FFD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2021-11-11T12:59:56Z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